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4A11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6BE7C45">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CCCD54A">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2B997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FB91CB9">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22022316">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EF4A5F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7DFBDD69">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36</w:t>
            </w:r>
            <w:r>
              <w:fldChar w:fldCharType="end"/>
            </w:r>
            <w:bookmarkEnd w:id="3"/>
          </w:p>
        </w:tc>
      </w:tr>
    </w:tbl>
    <w:p w14:paraId="002DDB1B">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江西省</w:t>
      </w:r>
      <w:r>
        <w:rPr>
          <w:rFonts w:ascii="黑体" w:eastAsia="黑体"/>
          <w:b w:val="0"/>
          <w:w w:val="100"/>
          <w:sz w:val="48"/>
        </w:rPr>
        <w:t>     </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7F8ED495">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3FE50D39">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A90304F">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DB1E379">
      <w:pPr>
        <w:pStyle w:val="50"/>
        <w:framePr w:w="9639" w:h="6976" w:hRule="exact" w:hSpace="0" w:vSpace="0" w:wrap="around" w:hAnchor="page" w:y="6408"/>
        <w:jc w:val="center"/>
        <w:rPr>
          <w:rFonts w:hint="eastAsia" w:ascii="黑体" w:hAnsi="黑体" w:eastAsia="黑体"/>
          <w:b w:val="0"/>
          <w:bCs w:val="0"/>
          <w:w w:val="100"/>
        </w:rPr>
      </w:pPr>
    </w:p>
    <w:p w14:paraId="27666DAE">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高速公路智慧收费站运营规范</w:t>
      </w:r>
      <w:r>
        <w:fldChar w:fldCharType="end"/>
      </w:r>
      <w:bookmarkEnd w:id="9"/>
    </w:p>
    <w:p w14:paraId="72910F23">
      <w:pPr>
        <w:framePr w:w="9639" w:h="6974" w:hRule="exact" w:wrap="around" w:vAnchor="page" w:hAnchor="page" w:x="1419" w:y="6408" w:anchorLock="1"/>
        <w:ind w:left="-1418"/>
      </w:pPr>
    </w:p>
    <w:p w14:paraId="09C060CE">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Operation Specification for intelligent toll station of expressway</w:t>
      </w:r>
      <w:r>
        <w:rPr>
          <w:rFonts w:eastAsia="黑体"/>
          <w:szCs w:val="28"/>
        </w:rPr>
        <w:fldChar w:fldCharType="end"/>
      </w:r>
      <w:bookmarkEnd w:id="10"/>
    </w:p>
    <w:p w14:paraId="60C87092">
      <w:pPr>
        <w:framePr w:w="9639" w:h="6974" w:hRule="exact" w:wrap="around" w:vAnchor="page" w:hAnchor="page" w:x="1419" w:y="6408" w:anchorLock="1"/>
        <w:spacing w:line="760" w:lineRule="exact"/>
        <w:ind w:left="-1418"/>
      </w:pPr>
    </w:p>
    <w:p w14:paraId="60F7F488">
      <w:pPr>
        <w:pStyle w:val="125"/>
        <w:framePr w:w="9639" w:h="6974" w:hRule="exact" w:wrap="around" w:vAnchor="page" w:hAnchor="page" w:x="1419" w:y="6408" w:anchorLock="1"/>
        <w:textAlignment w:val="bottom"/>
        <w:rPr>
          <w:rFonts w:eastAsia="黑体"/>
          <w:szCs w:val="28"/>
        </w:rPr>
      </w:pPr>
    </w:p>
    <w:p w14:paraId="49A8BF36">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408E86A">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4956D033">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5C18C20C">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7DE1B45F">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0373E7CF">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江西省</w:t>
      </w:r>
      <w:r>
        <w:rPr>
          <w:rFonts w:hint="eastAsia" w:hAnsi="黑体"/>
          <w:w w:val="100"/>
          <w:sz w:val="28"/>
          <w:lang w:eastAsia="zh-CN"/>
        </w:rPr>
        <w:t>市场</w:t>
      </w:r>
      <w:r>
        <w:rPr>
          <w:rFonts w:hint="eastAsia" w:hAnsi="黑体"/>
          <w:w w:val="100"/>
          <w:sz w:val="28"/>
        </w:rPr>
        <w:t>监督</w:t>
      </w:r>
      <w:r>
        <w:rPr>
          <w:rFonts w:hint="eastAsia" w:hAnsi="黑体"/>
          <w:w w:val="100"/>
          <w:sz w:val="28"/>
          <w:lang w:eastAsia="zh-CN"/>
        </w:rPr>
        <w:t>管理</w:t>
      </w:r>
      <w:r>
        <w:rPr>
          <w:rFonts w:hint="eastAsia" w:hAnsi="黑体"/>
          <w:w w:val="100"/>
          <w:sz w:val="28"/>
        </w:rPr>
        <w:t>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41B49C4">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3FAD0EB">
      <w:pPr>
        <w:pStyle w:val="91"/>
        <w:spacing w:after="468"/>
        <w:rPr>
          <w:rFonts w:hint="eastAsia"/>
        </w:rPr>
      </w:pPr>
      <w:bookmarkStart w:id="21" w:name="BookMark1"/>
      <w:bookmarkStart w:id="22" w:name="_Toc176447236"/>
      <w:bookmarkStart w:id="23" w:name="_Toc176442546"/>
      <w:bookmarkStart w:id="24" w:name="_Toc176443547"/>
      <w:bookmarkStart w:id="25" w:name="_Toc176442561"/>
      <w:r>
        <w:rPr>
          <w:rFonts w:hint="eastAsia"/>
          <w:spacing w:val="320"/>
        </w:rPr>
        <w:t>目</w:t>
      </w:r>
      <w:r>
        <w:rPr>
          <w:rFonts w:hint="eastAsia"/>
        </w:rPr>
        <w:t>次</w:t>
      </w:r>
    </w:p>
    <w:p w14:paraId="620182C3">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TOC \o "1-1" \h </w:instrText>
      </w:r>
      <w:r>
        <w:fldChar w:fldCharType="separate"/>
      </w:r>
      <w:r>
        <w:fldChar w:fldCharType="begin"/>
      </w:r>
      <w:r>
        <w:instrText xml:space="preserve"> HYPERLINK \l "_Toc176447275" </w:instrText>
      </w:r>
      <w:r>
        <w:fldChar w:fldCharType="separate"/>
      </w:r>
      <w:r>
        <w:rPr>
          <w:rStyle w:val="32"/>
          <w:rFonts w:hint="eastAsia"/>
        </w:rPr>
        <w:t>前言</w:t>
      </w:r>
      <w:r>
        <w:rPr>
          <w:rFonts w:hint="eastAsia"/>
        </w:rPr>
        <w:tab/>
      </w:r>
      <w:r>
        <w:rPr>
          <w:rFonts w:hint="eastAsia"/>
        </w:rPr>
        <w:fldChar w:fldCharType="begin"/>
      </w:r>
      <w:r>
        <w:rPr>
          <w:rFonts w:hint="eastAsia"/>
        </w:rPr>
        <w:instrText xml:space="preserve"> </w:instrText>
      </w:r>
      <w:r>
        <w:instrText xml:space="preserve">PAGEREF _Toc176447275 \h</w:instrText>
      </w:r>
      <w:r>
        <w:rPr>
          <w:rFonts w:hint="eastAsia"/>
        </w:rPr>
        <w:instrText xml:space="preserve"> </w:instrText>
      </w:r>
      <w:r>
        <w:fldChar w:fldCharType="separate"/>
      </w:r>
      <w:r>
        <w:t>II</w:t>
      </w:r>
      <w:r>
        <w:rPr>
          <w:rFonts w:hint="eastAsia"/>
        </w:rPr>
        <w:fldChar w:fldCharType="end"/>
      </w:r>
      <w:r>
        <w:rPr>
          <w:rFonts w:hint="eastAsia"/>
        </w:rPr>
        <w:fldChar w:fldCharType="end"/>
      </w:r>
    </w:p>
    <w:p w14:paraId="3C0A0E0B">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"_Toc176447276" </w:instrText>
      </w:r>
      <w:r>
        <w:fldChar w:fldCharType="separate"/>
      </w:r>
      <w:r>
        <w:rPr>
          <w:rStyle w:val="32"/>
          <w:rFonts w:hint="eastAsia"/>
        </w:rPr>
        <w:t>引言</w:t>
      </w:r>
      <w:r>
        <w:rPr>
          <w:rFonts w:hint="eastAsia"/>
        </w:rPr>
        <w:tab/>
      </w:r>
      <w:r>
        <w:rPr>
          <w:rFonts w:hint="eastAsia"/>
        </w:rPr>
        <w:fldChar w:fldCharType="begin"/>
      </w:r>
      <w:r>
        <w:rPr>
          <w:rFonts w:hint="eastAsia"/>
        </w:rPr>
        <w:instrText xml:space="preserve"> </w:instrText>
      </w:r>
      <w:r>
        <w:instrText xml:space="preserve">PAGEREF _Toc176447276 \h</w:instrText>
      </w:r>
      <w:r>
        <w:rPr>
          <w:rFonts w:hint="eastAsia"/>
        </w:rPr>
        <w:instrText xml:space="preserve"> </w:instrText>
      </w:r>
      <w:r>
        <w:fldChar w:fldCharType="separate"/>
      </w:r>
      <w:r>
        <w:t>III</w:t>
      </w:r>
      <w:r>
        <w:rPr>
          <w:rFonts w:hint="eastAsia"/>
        </w:rPr>
        <w:fldChar w:fldCharType="end"/>
      </w:r>
      <w:r>
        <w:rPr>
          <w:rFonts w:hint="eastAsia"/>
        </w:rPr>
        <w:fldChar w:fldCharType="end"/>
      </w:r>
    </w:p>
    <w:p w14:paraId="730B9529">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"_Toc176447277" </w:instrText>
      </w:r>
      <w:r>
        <w:fldChar w:fldCharType="separate"/>
      </w:r>
      <w:r>
        <w:rPr>
          <w:rStyle w:val="32"/>
          <w:rFonts w:hint="eastAsia"/>
        </w:rPr>
        <w:t>1</w:t>
      </w:r>
      <w:r>
        <w:rPr>
          <w:rStyle w:val="32"/>
        </w:rPr>
        <w:t xml:space="preserve"> </w:t>
      </w:r>
      <w:r>
        <w:rPr>
          <w:rStyle w:val="32"/>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_Toc176447277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587CFAEE">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"_Toc176447278" </w:instrText>
      </w:r>
      <w:r>
        <w:fldChar w:fldCharType="separate"/>
      </w:r>
      <w:r>
        <w:rPr>
          <w:rStyle w:val="32"/>
          <w:rFonts w:hint="eastAsia"/>
        </w:rPr>
        <w:t>2</w:t>
      </w:r>
      <w:r>
        <w:rPr>
          <w:rStyle w:val="32"/>
        </w:rPr>
        <w:t xml:space="preserve"> </w:t>
      </w:r>
      <w:r>
        <w:rPr>
          <w:rStyle w:val="32"/>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_Toc176447278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57428545">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"_Toc176447279" </w:instrText>
      </w:r>
      <w:r>
        <w:fldChar w:fldCharType="separate"/>
      </w:r>
      <w:r>
        <w:rPr>
          <w:rStyle w:val="32"/>
          <w:rFonts w:hint="eastAsia"/>
        </w:rPr>
        <w:t>3</w:t>
      </w:r>
      <w:r>
        <w:rPr>
          <w:rStyle w:val="32"/>
        </w:rPr>
        <w:t xml:space="preserve"> </w:t>
      </w:r>
      <w:r>
        <w:rPr>
          <w:rStyle w:val="32"/>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_Toc176447279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4B9AE318">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"_Toc176447280" </w:instrText>
      </w:r>
      <w:r>
        <w:fldChar w:fldCharType="separate"/>
      </w:r>
      <w:r>
        <w:rPr>
          <w:rStyle w:val="32"/>
          <w:rFonts w:hint="eastAsia"/>
        </w:rPr>
        <w:t>4</w:t>
      </w:r>
      <w:r>
        <w:rPr>
          <w:rStyle w:val="32"/>
        </w:rPr>
        <w:t xml:space="preserve"> </w:t>
      </w:r>
      <w:r>
        <w:rPr>
          <w:rStyle w:val="32"/>
          <w:rFonts w:hint="eastAsia"/>
        </w:rPr>
        <w:t xml:space="preserve"> 功能布局</w:t>
      </w:r>
      <w:r>
        <w:rPr>
          <w:rFonts w:hint="eastAsia"/>
        </w:rPr>
        <w:tab/>
      </w:r>
      <w:r>
        <w:rPr>
          <w:rFonts w:hint="eastAsia"/>
        </w:rPr>
        <w:fldChar w:fldCharType="begin"/>
      </w:r>
      <w:r>
        <w:rPr>
          <w:rFonts w:hint="eastAsia"/>
        </w:rPr>
        <w:instrText xml:space="preserve"> </w:instrText>
      </w:r>
      <w:r>
        <w:instrText xml:space="preserve">PAGEREF _Toc176447280 \h</w:instrText>
      </w:r>
      <w:r>
        <w:rPr>
          <w:rFonts w:hint="eastAsia"/>
        </w:rPr>
        <w:instrText xml:space="preserve"> </w:instrText>
      </w:r>
      <w:r>
        <w:fldChar w:fldCharType="separate"/>
      </w:r>
      <w:r>
        <w:t>2</w:t>
      </w:r>
      <w:r>
        <w:rPr>
          <w:rFonts w:hint="eastAsia"/>
        </w:rPr>
        <w:fldChar w:fldCharType="end"/>
      </w:r>
      <w:r>
        <w:rPr>
          <w:rFonts w:hint="eastAsia"/>
        </w:rPr>
        <w:fldChar w:fldCharType="end"/>
      </w:r>
    </w:p>
    <w:p w14:paraId="00F5EF27">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"_Toc176447281" </w:instrText>
      </w:r>
      <w:r>
        <w:fldChar w:fldCharType="separate"/>
      </w:r>
      <w:r>
        <w:rPr>
          <w:rStyle w:val="32"/>
          <w:rFonts w:hint="eastAsia"/>
        </w:rPr>
        <w:t>5</w:t>
      </w:r>
      <w:r>
        <w:rPr>
          <w:rStyle w:val="32"/>
        </w:rPr>
        <w:t xml:space="preserve"> </w:t>
      </w:r>
      <w:r>
        <w:rPr>
          <w:rStyle w:val="32"/>
          <w:rFonts w:hint="eastAsia"/>
        </w:rPr>
        <w:t xml:space="preserve"> 岗位设置与工作内容</w:t>
      </w:r>
      <w:r>
        <w:rPr>
          <w:rFonts w:hint="eastAsia"/>
        </w:rPr>
        <w:tab/>
      </w:r>
      <w:r>
        <w:rPr>
          <w:rFonts w:hint="eastAsia"/>
        </w:rPr>
        <w:fldChar w:fldCharType="begin"/>
      </w:r>
      <w:r>
        <w:rPr>
          <w:rFonts w:hint="eastAsia"/>
        </w:rPr>
        <w:instrText xml:space="preserve"> </w:instrText>
      </w:r>
      <w:r>
        <w:instrText xml:space="preserve">PAGEREF _Toc176447281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7CCCED77">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"_Toc176447282" </w:instrText>
      </w:r>
      <w:r>
        <w:fldChar w:fldCharType="separate"/>
      </w:r>
      <w:r>
        <w:rPr>
          <w:rStyle w:val="32"/>
          <w:rFonts w:hint="eastAsia"/>
        </w:rPr>
        <w:t>6</w:t>
      </w:r>
      <w:r>
        <w:rPr>
          <w:rStyle w:val="32"/>
        </w:rPr>
        <w:t xml:space="preserve"> </w:t>
      </w:r>
      <w:r>
        <w:rPr>
          <w:rStyle w:val="32"/>
          <w:rFonts w:hint="eastAsia"/>
        </w:rPr>
        <w:t xml:space="preserve"> 管理要求与业务操作</w:t>
      </w:r>
      <w:r>
        <w:rPr>
          <w:rFonts w:hint="eastAsia"/>
        </w:rPr>
        <w:tab/>
      </w:r>
      <w:r>
        <w:rPr>
          <w:rFonts w:hint="eastAsia"/>
        </w:rPr>
        <w:fldChar w:fldCharType="begin"/>
      </w:r>
      <w:r>
        <w:rPr>
          <w:rFonts w:hint="eastAsia"/>
        </w:rPr>
        <w:instrText xml:space="preserve"> </w:instrText>
      </w:r>
      <w:r>
        <w:instrText xml:space="preserve">PAGEREF _Toc176447282 \h</w:instrText>
      </w:r>
      <w:r>
        <w:rPr>
          <w:rFonts w:hint="eastAsia"/>
        </w:rPr>
        <w:instrText xml:space="preserve"> </w:instrText>
      </w:r>
      <w:r>
        <w:fldChar w:fldCharType="separate"/>
      </w:r>
      <w:r>
        <w:t>5</w:t>
      </w:r>
      <w:r>
        <w:rPr>
          <w:rFonts w:hint="eastAsia"/>
        </w:rPr>
        <w:fldChar w:fldCharType="end"/>
      </w:r>
      <w:r>
        <w:rPr>
          <w:rFonts w:hint="eastAsia"/>
        </w:rPr>
        <w:fldChar w:fldCharType="end"/>
      </w:r>
    </w:p>
    <w:p w14:paraId="4FCD55E6">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"_Toc176447283" </w:instrText>
      </w:r>
      <w:r>
        <w:fldChar w:fldCharType="separate"/>
      </w:r>
      <w:r>
        <w:rPr>
          <w:rStyle w:val="32"/>
          <w:rFonts w:hint="eastAsia"/>
        </w:rPr>
        <w:t>7</w:t>
      </w:r>
      <w:r>
        <w:rPr>
          <w:rStyle w:val="32"/>
        </w:rPr>
        <w:t xml:space="preserve"> </w:t>
      </w:r>
      <w:r>
        <w:rPr>
          <w:rStyle w:val="32"/>
          <w:rFonts w:hint="eastAsia"/>
        </w:rPr>
        <w:t xml:space="preserve"> 评价与改进</w:t>
      </w:r>
      <w:r>
        <w:rPr>
          <w:rFonts w:hint="eastAsia"/>
        </w:rPr>
        <w:tab/>
      </w:r>
      <w:r>
        <w:rPr>
          <w:rFonts w:hint="eastAsia"/>
        </w:rPr>
        <w:fldChar w:fldCharType="begin"/>
      </w:r>
      <w:r>
        <w:rPr>
          <w:rFonts w:hint="eastAsia"/>
        </w:rPr>
        <w:instrText xml:space="preserve"> </w:instrText>
      </w:r>
      <w:r>
        <w:instrText xml:space="preserve">PAGEREF _Toc176447283 \h</w:instrText>
      </w:r>
      <w:r>
        <w:rPr>
          <w:rFonts w:hint="eastAsia"/>
        </w:rPr>
        <w:instrText xml:space="preserve"> </w:instrText>
      </w:r>
      <w:r>
        <w:fldChar w:fldCharType="separate"/>
      </w:r>
      <w:r>
        <w:t>9</w:t>
      </w:r>
      <w:r>
        <w:rPr>
          <w:rFonts w:hint="eastAsia"/>
        </w:rPr>
        <w:fldChar w:fldCharType="end"/>
      </w:r>
      <w:r>
        <w:rPr>
          <w:rFonts w:hint="eastAsia"/>
        </w:rPr>
        <w:fldChar w:fldCharType="end"/>
      </w:r>
    </w:p>
    <w:p w14:paraId="1F8FCE7F">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07DF83E3">
      <w:pPr>
        <w:pStyle w:val="89"/>
        <w:spacing w:before="900" w:after="468"/>
        <w:rPr>
          <w:rFonts w:hint="eastAsia"/>
        </w:rPr>
      </w:pPr>
      <w:bookmarkStart w:id="26" w:name="_Toc176447275"/>
      <w:bookmarkStart w:id="27" w:name="BookMark2"/>
      <w:r>
        <w:rPr>
          <w:rFonts w:hint="eastAsia"/>
          <w:spacing w:val="320"/>
        </w:rPr>
        <w:t>前</w:t>
      </w:r>
      <w:r>
        <w:rPr>
          <w:rFonts w:hint="eastAsia"/>
        </w:rPr>
        <w:t>言</w:t>
      </w:r>
      <w:bookmarkEnd w:id="22"/>
      <w:bookmarkEnd w:id="23"/>
      <w:bookmarkEnd w:id="24"/>
      <w:bookmarkEnd w:id="25"/>
      <w:bookmarkEnd w:id="26"/>
    </w:p>
    <w:p w14:paraId="3822F5B3">
      <w:pPr>
        <w:pStyle w:val="56"/>
        <w:ind w:firstLine="420"/>
        <w:rPr>
          <w:rFonts w:hint="eastAsia"/>
        </w:rPr>
      </w:pPr>
      <w:r>
        <w:rPr>
          <w:rFonts w:hint="eastAsia"/>
        </w:rPr>
        <w:t>本文件按照GB/T 1.1—2020《标准化工作导则  第1部分：标准化文件的结构和起草规则》的规定起草。</w:t>
      </w:r>
    </w:p>
    <w:p w14:paraId="21417B1E">
      <w:pPr>
        <w:pStyle w:val="56"/>
        <w:ind w:firstLine="420"/>
        <w:rPr>
          <w:rFonts w:hint="eastAsia"/>
        </w:rPr>
      </w:pPr>
      <w:bookmarkStart w:id="108" w:name="_GoBack"/>
      <w:bookmarkEnd w:id="108"/>
      <w:r>
        <w:rPr>
          <w:rFonts w:hint="eastAsia"/>
        </w:rPr>
        <w:t>本文件由江西省交通运输厅提出。</w:t>
      </w:r>
    </w:p>
    <w:p w14:paraId="660EF66E">
      <w:pPr>
        <w:pStyle w:val="56"/>
        <w:ind w:firstLine="420"/>
        <w:rPr>
          <w:rFonts w:hint="eastAsia"/>
        </w:rPr>
      </w:pPr>
      <w:r>
        <w:rPr>
          <w:rFonts w:hint="eastAsia"/>
        </w:rPr>
        <w:t>本文件由江西省交通运输标准化技术委员会（JX/TC  014</w:t>
      </w:r>
      <w:r>
        <w:rPr>
          <w:rFonts w:hint="eastAsia"/>
          <w:lang w:eastAsia="zh-CN"/>
        </w:rPr>
        <w:t>）</w:t>
      </w:r>
      <w:r>
        <w:rPr>
          <w:rFonts w:hint="eastAsia"/>
        </w:rPr>
        <w:t>归口。</w:t>
      </w:r>
    </w:p>
    <w:p w14:paraId="17FCA3CA">
      <w:pPr>
        <w:pStyle w:val="56"/>
        <w:ind w:firstLine="420"/>
        <w:rPr>
          <w:rFonts w:hint="eastAsia"/>
          <w:lang w:val="en-US" w:eastAsia="zh-CN"/>
        </w:rPr>
      </w:pPr>
      <w:r>
        <w:rPr>
          <w:rFonts w:hint="eastAsia"/>
        </w:rPr>
        <w:t>本文件起草单位：</w:t>
      </w:r>
      <w:r>
        <w:rPr>
          <w:rFonts w:hint="eastAsia"/>
          <w:lang w:val="en-US" w:eastAsia="zh-CN"/>
        </w:rPr>
        <w:t>江西省交通投资集团有限责任公司</w:t>
      </w:r>
    </w:p>
    <w:p w14:paraId="72EEDEDD">
      <w:pPr>
        <w:pStyle w:val="56"/>
        <w:ind w:firstLine="420"/>
        <w:rPr>
          <w:rFonts w:hint="default" w:eastAsia="宋体"/>
          <w:lang w:val="en-US" w:eastAsia="zh-CN"/>
        </w:rPr>
      </w:pPr>
      <w:r>
        <w:rPr>
          <w:rFonts w:hint="eastAsia"/>
        </w:rPr>
        <w:t>本文件主要起草人：</w:t>
      </w:r>
      <w:r>
        <w:rPr>
          <w:rFonts w:hint="eastAsia"/>
          <w:lang w:val="en-US" w:eastAsia="zh-CN"/>
        </w:rPr>
        <w:t>王建霞、程磊、刘连江、欧阳新峰、万清、戴程、陈冲、陈勋明、明长春、罗卫民、吁琨、罗建、谢星星。</w:t>
      </w:r>
    </w:p>
    <w:p w14:paraId="31F72171">
      <w:pPr>
        <w:pStyle w:val="56"/>
        <w:ind w:firstLine="420"/>
        <w:rPr>
          <w:rFonts w:hint="eastAsia"/>
        </w:rPr>
      </w:pPr>
    </w:p>
    <w:bookmarkEnd w:id="27"/>
    <w:p w14:paraId="38BBC486">
      <w:pPr>
        <w:pStyle w:val="89"/>
        <w:spacing w:after="468"/>
        <w:rPr>
          <w:rFonts w:hint="eastAsia"/>
        </w:rPr>
      </w:pPr>
      <w:bookmarkStart w:id="28" w:name="_Toc176447237"/>
      <w:bookmarkStart w:id="29" w:name="_Toc176443548"/>
      <w:bookmarkStart w:id="30" w:name="_Toc176447276"/>
      <w:bookmarkStart w:id="31" w:name="BookMark3"/>
    </w:p>
    <w:p w14:paraId="33EE2F43">
      <w:pPr>
        <w:pStyle w:val="89"/>
        <w:spacing w:after="468"/>
        <w:rPr>
          <w:rFonts w:hint="eastAsia"/>
        </w:rPr>
      </w:pPr>
    </w:p>
    <w:p w14:paraId="58A0BE7F">
      <w:pPr>
        <w:pStyle w:val="89"/>
        <w:spacing w:after="468"/>
        <w:rPr>
          <w:rFonts w:hint="eastAsia"/>
        </w:rPr>
      </w:pPr>
    </w:p>
    <w:p w14:paraId="2D980783">
      <w:pPr>
        <w:pStyle w:val="89"/>
        <w:spacing w:after="468"/>
        <w:rPr>
          <w:rFonts w:hint="eastAsia"/>
        </w:rPr>
      </w:pPr>
    </w:p>
    <w:p w14:paraId="48B6FC35">
      <w:pPr>
        <w:pStyle w:val="89"/>
        <w:spacing w:after="468"/>
        <w:rPr>
          <w:rFonts w:hint="eastAsia"/>
        </w:rPr>
      </w:pPr>
    </w:p>
    <w:p w14:paraId="136F4492">
      <w:pPr>
        <w:pStyle w:val="89"/>
        <w:spacing w:after="468"/>
        <w:rPr>
          <w:rFonts w:hint="eastAsia"/>
        </w:rPr>
      </w:pPr>
    </w:p>
    <w:p w14:paraId="2B25E989">
      <w:pPr>
        <w:pStyle w:val="89"/>
        <w:spacing w:after="468"/>
        <w:rPr>
          <w:rFonts w:hint="eastAsia"/>
        </w:rPr>
      </w:pPr>
    </w:p>
    <w:p w14:paraId="7B0C2C6F">
      <w:pPr>
        <w:pStyle w:val="89"/>
        <w:spacing w:after="468"/>
        <w:rPr>
          <w:rFonts w:hint="eastAsia"/>
          <w:color w:val="000000" w:themeColor="text1"/>
          <w14:textFill>
            <w14:solidFill>
              <w14:schemeClr w14:val="tx1"/>
            </w14:solidFill>
          </w14:textFill>
        </w:rPr>
      </w:pPr>
      <w:r>
        <w:rPr>
          <w:rFonts w:hint="eastAsia"/>
          <w:color w:val="000000" w:themeColor="text1"/>
          <w:spacing w:val="320"/>
          <w14:textFill>
            <w14:solidFill>
              <w14:schemeClr w14:val="tx1"/>
            </w14:solidFill>
          </w14:textFill>
        </w:rPr>
        <w:t>引</w:t>
      </w:r>
      <w:r>
        <w:rPr>
          <w:rFonts w:hint="eastAsia"/>
          <w:color w:val="000000" w:themeColor="text1"/>
          <w14:textFill>
            <w14:solidFill>
              <w14:schemeClr w14:val="tx1"/>
            </w14:solidFill>
          </w14:textFill>
        </w:rPr>
        <w:t>言</w:t>
      </w:r>
      <w:bookmarkEnd w:id="28"/>
      <w:bookmarkEnd w:id="29"/>
      <w:bookmarkEnd w:id="30"/>
    </w:p>
    <w:p w14:paraId="4F63AA68">
      <w:pPr>
        <w:pStyle w:val="56"/>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在新时期大力培育发展新质生产力的时代背景下，</w:t>
      </w:r>
      <w:r>
        <w:rPr>
          <w:rFonts w:hint="eastAsia"/>
          <w:color w:val="000000" w:themeColor="text1"/>
          <w:lang w:eastAsia="zh-CN"/>
          <w14:textFill>
            <w14:solidFill>
              <w14:schemeClr w14:val="tx1"/>
            </w14:solidFill>
          </w14:textFill>
        </w:rPr>
        <w:t>新一轮科技革命</w:t>
      </w:r>
      <w:r>
        <w:rPr>
          <w:rFonts w:hint="eastAsia"/>
          <w:color w:val="000000" w:themeColor="text1"/>
          <w14:textFill>
            <w14:solidFill>
              <w14:schemeClr w14:val="tx1"/>
            </w14:solidFill>
          </w14:textFill>
        </w:rPr>
        <w:t>催生了交通基础设施和管理服务模式的深刻变革。自全面取消高速公路省界收费站、实现“高速一张网”运行</w:t>
      </w:r>
      <w:r>
        <w:rPr>
          <w:rFonts w:hint="eastAsia"/>
          <w:color w:val="000000" w:themeColor="text1"/>
          <w:lang w:eastAsia="zh-CN"/>
          <w14:textFill>
            <w14:solidFill>
              <w14:schemeClr w14:val="tx1"/>
            </w14:solidFill>
          </w14:textFill>
        </w:rPr>
        <w:t>以来</w:t>
      </w:r>
      <w:r>
        <w:rPr>
          <w:rFonts w:hint="eastAsia"/>
          <w:color w:val="000000" w:themeColor="text1"/>
          <w14:textFill>
            <w14:solidFill>
              <w14:schemeClr w14:val="tx1"/>
            </w14:solidFill>
          </w14:textFill>
        </w:rPr>
        <w:t>，高速公路运营模式发生重大改变，省内外高速公路运营单位相继研发启用智能收费设备，但随着设备的升级、收费模式的变化，各地高速公路收费站运营模式也出现了标准不一的情况，不利于高速公路智慧收费站运营的高质量发展。</w:t>
      </w:r>
    </w:p>
    <w:p w14:paraId="5A325E04">
      <w:pPr>
        <w:pStyle w:val="56"/>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为适应高速公路智慧收费站运营有序发展的需要，保证江西省高速公路智慧收费站运营标准化、网络化、智能化管理，遵循明确管理职责、管理内容、管理要求和服务群众美好出行的原则，结合江西省高速公路智慧收费站运营实际，制定本标准。</w:t>
      </w:r>
    </w:p>
    <w:p w14:paraId="67D7A024">
      <w:pPr>
        <w:pStyle w:val="56"/>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标准是在进行广泛调查研究，认真总结2022年以来江西省高速公路智慧收费站运营过程中的应用实践，对智慧收费站的功能布局、岗位设置与工作内容、管理要求与业务操作等方面进行试验和检查，参考国内外有关标准、规范和规程</w:t>
      </w:r>
      <w:r>
        <w:rPr>
          <w:rFonts w:hint="eastAsia"/>
          <w:color w:val="000000" w:themeColor="text1"/>
          <w:lang w:eastAsia="zh-CN"/>
          <w14:textFill>
            <w14:solidFill>
              <w14:schemeClr w14:val="tx1"/>
            </w14:solidFill>
          </w14:textFill>
        </w:rPr>
        <w:t>，在</w:t>
      </w:r>
      <w:r>
        <w:rPr>
          <w:rFonts w:hint="eastAsia"/>
          <w:color w:val="000000" w:themeColor="text1"/>
          <w14:textFill>
            <w14:solidFill>
              <w14:schemeClr w14:val="tx1"/>
            </w14:solidFill>
          </w14:textFill>
        </w:rPr>
        <w:t>征求有关单位意见基础上制定的。</w:t>
      </w:r>
    </w:p>
    <w:p w14:paraId="5BFF7217">
      <w:pPr>
        <w:pStyle w:val="56"/>
        <w:ind w:firstLine="420"/>
        <w:rPr>
          <w:rFonts w:hint="eastAsia"/>
          <w:color w:val="000000" w:themeColor="text1"/>
          <w14:textFill>
            <w14:solidFill>
              <w14:schemeClr w14:val="tx1"/>
            </w14:solidFill>
          </w14:textFill>
        </w:rPr>
      </w:pPr>
    </w:p>
    <w:p w14:paraId="668A3E0A">
      <w:pPr>
        <w:pStyle w:val="56"/>
        <w:ind w:firstLine="420"/>
        <w:rPr>
          <w:rFonts w:hint="eastAsia"/>
          <w:color w:val="000000" w:themeColor="text1"/>
          <w14:textFill>
            <w14:solidFill>
              <w14:schemeClr w14:val="tx1"/>
            </w14:solidFill>
          </w14:textFill>
        </w:rPr>
        <w:sectPr>
          <w:pgSz w:w="11906" w:h="16838"/>
          <w:pgMar w:top="1928" w:right="1134" w:bottom="1134" w:left="1134" w:header="1418" w:footer="1134" w:gutter="284"/>
          <w:pgNumType w:fmt="upperRoman"/>
          <w:cols w:space="425" w:num="1"/>
          <w:formProt w:val="0"/>
          <w:docGrid w:type="lines" w:linePitch="312" w:charSpace="0"/>
        </w:sectPr>
      </w:pPr>
    </w:p>
    <w:bookmarkEnd w:id="31"/>
    <w:p w14:paraId="1179CAB2">
      <w:pPr>
        <w:spacing w:line="20" w:lineRule="exact"/>
        <w:jc w:val="center"/>
        <w:rPr>
          <w:rFonts w:hint="eastAsia" w:ascii="黑体" w:hAnsi="黑体" w:eastAsia="黑体"/>
          <w:color w:val="000000" w:themeColor="text1"/>
          <w:sz w:val="32"/>
          <w:szCs w:val="32"/>
          <w14:textFill>
            <w14:solidFill>
              <w14:schemeClr w14:val="tx1"/>
            </w14:solidFill>
          </w14:textFill>
        </w:rPr>
      </w:pPr>
      <w:bookmarkStart w:id="32" w:name="BookMark4"/>
    </w:p>
    <w:p w14:paraId="3B6F2D04">
      <w:pPr>
        <w:spacing w:line="20" w:lineRule="exact"/>
        <w:jc w:val="center"/>
        <w:rPr>
          <w:rFonts w:hint="eastAsia" w:ascii="黑体" w:hAnsi="黑体" w:eastAsia="黑体"/>
          <w:color w:val="000000" w:themeColor="text1"/>
          <w:sz w:val="32"/>
          <w:szCs w:val="32"/>
          <w14:textFill>
            <w14:solidFill>
              <w14:schemeClr w14:val="tx1"/>
            </w14:solidFill>
          </w14:textFill>
        </w:rPr>
      </w:pPr>
    </w:p>
    <w:sdt>
      <w:sdtPr>
        <w:rPr>
          <w:color w:val="000000" w:themeColor="text1"/>
          <w14:textFill>
            <w14:solidFill>
              <w14:schemeClr w14:val="tx1"/>
            </w14:solidFill>
          </w14:textFill>
        </w:rPr>
        <w:tag w:val="NEW_STAND_NAME"/>
        <w:id w:val="595910757"/>
        <w:lock w:val="sdtLocked"/>
        <w:placeholder>
          <w:docPart w:val="D610200BCD9A489198BABC7E3E528C5B"/>
        </w:placeholder>
      </w:sdtPr>
      <w:sdtEndPr>
        <w:rPr>
          <w:color w:val="000000" w:themeColor="text1"/>
          <w14:textFill>
            <w14:solidFill>
              <w14:schemeClr w14:val="tx1"/>
            </w14:solidFill>
          </w14:textFill>
        </w:rPr>
      </w:sdtEndPr>
      <w:sdtContent>
        <w:p w14:paraId="5B3ADE90">
          <w:pPr>
            <w:pStyle w:val="177"/>
            <w:spacing w:before="3" w:beforeLines="1" w:after="686" w:afterLines="220"/>
            <w:rPr>
              <w:rFonts w:hint="eastAsia"/>
              <w:color w:val="000000" w:themeColor="text1"/>
              <w14:textFill>
                <w14:solidFill>
                  <w14:schemeClr w14:val="tx1"/>
                </w14:solidFill>
              </w14:textFill>
            </w:rPr>
          </w:pPr>
          <w:bookmarkStart w:id="33" w:name="NEW_STAND_NAME"/>
          <w:r>
            <w:rPr>
              <w:rFonts w:hint="eastAsia"/>
              <w:color w:val="000000" w:themeColor="text1"/>
              <w14:textFill>
                <w14:solidFill>
                  <w14:schemeClr w14:val="tx1"/>
                </w14:solidFill>
              </w14:textFill>
            </w:rPr>
            <w:t>高速公路智慧收费站运营规范</w:t>
          </w:r>
        </w:p>
      </w:sdtContent>
    </w:sdt>
    <w:bookmarkEnd w:id="33"/>
    <w:p w14:paraId="76CDF77E">
      <w:pPr>
        <w:pStyle w:val="104"/>
        <w:spacing w:before="312" w:after="312"/>
        <w:rPr>
          <w:color w:val="000000" w:themeColor="text1"/>
          <w14:textFill>
            <w14:solidFill>
              <w14:schemeClr w14:val="tx1"/>
            </w14:solidFill>
          </w14:textFill>
        </w:rPr>
      </w:pPr>
      <w:bookmarkStart w:id="34" w:name="_Toc176442562"/>
      <w:bookmarkStart w:id="35" w:name="_Toc176447277"/>
      <w:bookmarkStart w:id="36" w:name="_Toc176447238"/>
      <w:bookmarkStart w:id="37" w:name="_Toc176443549"/>
      <w:bookmarkStart w:id="38" w:name="_Toc17233325"/>
      <w:bookmarkStart w:id="39" w:name="_Toc176442547"/>
      <w:bookmarkStart w:id="40" w:name="_Toc17233333"/>
      <w:bookmarkStart w:id="41" w:name="_Toc26986530"/>
      <w:bookmarkStart w:id="42" w:name="_Toc26648465"/>
      <w:bookmarkStart w:id="43" w:name="_Toc26986771"/>
      <w:bookmarkStart w:id="44" w:name="_Toc26718930"/>
      <w:bookmarkStart w:id="45" w:name="_Toc97191423"/>
      <w:bookmarkStart w:id="46" w:name="_Toc24884218"/>
      <w:bookmarkStart w:id="47" w:name="_Toc24884211"/>
      <w:r>
        <w:rPr>
          <w:rFonts w:hint="eastAsia"/>
          <w:color w:val="000000" w:themeColor="text1"/>
          <w14:textFill>
            <w14:solidFill>
              <w14:schemeClr w14:val="tx1"/>
            </w14:solidFill>
          </w14:textFill>
        </w:rPr>
        <w:t>范围</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F2FFAF5">
      <w:pPr>
        <w:pStyle w:val="56"/>
        <w:ind w:firstLine="420"/>
        <w:rPr>
          <w:rFonts w:hint="eastAsia"/>
          <w:color w:val="000000" w:themeColor="text1"/>
          <w14:textFill>
            <w14:solidFill>
              <w14:schemeClr w14:val="tx1"/>
            </w14:solidFill>
          </w14:textFill>
        </w:rPr>
      </w:pPr>
      <w:bookmarkStart w:id="48" w:name="_Toc24884212"/>
      <w:bookmarkStart w:id="49" w:name="_Toc24884219"/>
      <w:bookmarkStart w:id="50" w:name="_Toc17233326"/>
      <w:bookmarkStart w:id="51" w:name="_Toc17233334"/>
      <w:bookmarkStart w:id="52" w:name="_Toc26648466"/>
      <w:r>
        <w:rPr>
          <w:rFonts w:hint="eastAsia"/>
          <w:color w:val="000000" w:themeColor="text1"/>
          <w14:textFill>
            <w14:solidFill>
              <w14:schemeClr w14:val="tx1"/>
            </w14:solidFill>
          </w14:textFill>
        </w:rPr>
        <w:t>本标准规定了高速公路智慧收费站的功能布局、岗位设置与工作内容、管理要求与业务操作等范围。</w:t>
      </w:r>
    </w:p>
    <w:p w14:paraId="3AA8775D">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本标准适用于江西省高速公路在用、新建、改建的智慧收费站。智慧收费站的运营与管理除适用于本标准外，还应符合国家法律法规和行业现行有关标准规范的规定。</w:t>
      </w:r>
    </w:p>
    <w:p w14:paraId="7A0DFBA1">
      <w:pPr>
        <w:pStyle w:val="104"/>
        <w:spacing w:before="312" w:after="312"/>
        <w:rPr>
          <w:color w:val="000000" w:themeColor="text1"/>
          <w14:textFill>
            <w14:solidFill>
              <w14:schemeClr w14:val="tx1"/>
            </w14:solidFill>
          </w14:textFill>
        </w:rPr>
      </w:pPr>
      <w:bookmarkStart w:id="53" w:name="_Toc26718931"/>
      <w:bookmarkStart w:id="54" w:name="_Toc176442548"/>
      <w:bookmarkStart w:id="55" w:name="_Toc176447278"/>
      <w:bookmarkStart w:id="56" w:name="_Toc176447239"/>
      <w:bookmarkStart w:id="57" w:name="_Toc97191424"/>
      <w:bookmarkStart w:id="58" w:name="_Toc176443550"/>
      <w:bookmarkStart w:id="59" w:name="_Toc26986531"/>
      <w:bookmarkStart w:id="60" w:name="_Toc26986772"/>
      <w:bookmarkStart w:id="61" w:name="_Toc176442563"/>
      <w:r>
        <w:rPr>
          <w:rFonts w:hint="eastAsia"/>
          <w:color w:val="000000" w:themeColor="text1"/>
          <w14:textFill>
            <w14:solidFill>
              <w14:schemeClr w14:val="tx1"/>
            </w14:solidFill>
          </w14:textFill>
        </w:rPr>
        <w:t>规范性引用文件</w:t>
      </w:r>
      <w:bookmarkEnd w:id="48"/>
      <w:bookmarkEnd w:id="49"/>
      <w:bookmarkEnd w:id="50"/>
      <w:bookmarkEnd w:id="51"/>
      <w:bookmarkEnd w:id="52"/>
      <w:bookmarkEnd w:id="53"/>
      <w:bookmarkEnd w:id="54"/>
      <w:bookmarkEnd w:id="55"/>
      <w:bookmarkEnd w:id="56"/>
      <w:bookmarkEnd w:id="57"/>
      <w:bookmarkEnd w:id="58"/>
      <w:bookmarkEnd w:id="59"/>
      <w:bookmarkEnd w:id="60"/>
      <w:bookmarkEnd w:id="61"/>
    </w:p>
    <w:sdt>
      <w:sdtPr>
        <w:rPr>
          <w:rFonts w:hint="eastAsia"/>
          <w:color w:val="000000" w:themeColor="text1"/>
          <w14:textFill>
            <w14:solidFill>
              <w14:schemeClr w14:val="tx1"/>
            </w14:solidFill>
          </w14:textFill>
        </w:rPr>
        <w:id w:val="715848253"/>
        <w:placeholder>
          <w:docPart w:val="5CB5D0BA62ED4444BB665D71D9DA6E9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000000" w:themeColor="text1"/>
          <w14:textFill>
            <w14:solidFill>
              <w14:schemeClr w14:val="tx1"/>
            </w14:solidFill>
          </w14:textFill>
        </w:rPr>
      </w:sdtEndPr>
      <w:sdtContent>
        <w:p w14:paraId="3DB2F973">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6081956">
      <w:pPr>
        <w:pStyle w:val="56"/>
        <w:ind w:firstLine="420"/>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JTG B10-01-2014 公路电子不停车收费联网运营和服务规</w:t>
      </w:r>
      <w:r>
        <w:rPr>
          <w:rFonts w:hint="eastAsia"/>
          <w:color w:val="000000" w:themeColor="text1"/>
          <w:lang w:eastAsia="zh-CN"/>
          <w14:textFill>
            <w14:solidFill>
              <w14:schemeClr w14:val="tx1"/>
            </w14:solidFill>
          </w14:textFill>
        </w:rPr>
        <w:t>程</w:t>
      </w:r>
    </w:p>
    <w:p w14:paraId="07075A64">
      <w:pPr>
        <w:pStyle w:val="56"/>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T/JXHTS 0002-2024 江西省高速公路收费站自助车道技术规范</w:t>
      </w:r>
    </w:p>
    <w:p w14:paraId="073589CC">
      <w:pPr>
        <w:pStyle w:val="56"/>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收费公路联网收费运营和服务规则（2020）</w:t>
      </w:r>
    </w:p>
    <w:p w14:paraId="70527F92">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高速公路联网收费系统优化升级收费站标准化专项试点技术方案</w:t>
      </w:r>
    </w:p>
    <w:p w14:paraId="0120F322">
      <w:pPr>
        <w:pStyle w:val="104"/>
        <w:spacing w:before="312" w:after="312"/>
        <w:rPr>
          <w:color w:val="000000" w:themeColor="text1"/>
          <w14:textFill>
            <w14:solidFill>
              <w14:schemeClr w14:val="tx1"/>
            </w14:solidFill>
          </w14:textFill>
        </w:rPr>
      </w:pPr>
      <w:bookmarkStart w:id="62" w:name="_Toc97191425"/>
      <w:bookmarkStart w:id="63" w:name="_Toc176443551"/>
      <w:bookmarkStart w:id="64" w:name="_Toc176447240"/>
      <w:bookmarkStart w:id="65" w:name="_Toc176442564"/>
      <w:bookmarkStart w:id="66" w:name="_Toc176442549"/>
      <w:bookmarkStart w:id="67" w:name="_Toc176447279"/>
      <w:r>
        <w:rPr>
          <w:rFonts w:hint="eastAsia"/>
          <w:color w:val="000000" w:themeColor="text1"/>
          <w:szCs w:val="21"/>
          <w14:textFill>
            <w14:solidFill>
              <w14:schemeClr w14:val="tx1"/>
            </w14:solidFill>
          </w14:textFill>
        </w:rPr>
        <w:t>术语和定义</w:t>
      </w:r>
      <w:bookmarkEnd w:id="62"/>
      <w:bookmarkEnd w:id="63"/>
      <w:bookmarkEnd w:id="64"/>
      <w:bookmarkEnd w:id="65"/>
      <w:bookmarkEnd w:id="66"/>
      <w:bookmarkEnd w:id="67"/>
      <w:r>
        <w:rPr>
          <w:rFonts w:hint="eastAsia"/>
          <w:color w:val="000000" w:themeColor="text1"/>
          <w:szCs w:val="21"/>
          <w:lang w:val="en-US" w:eastAsia="zh-CN"/>
          <w14:textFill>
            <w14:solidFill>
              <w14:schemeClr w14:val="tx1"/>
            </w14:solidFill>
          </w14:textFill>
        </w:rPr>
        <w:t xml:space="preserve"> </w:t>
      </w:r>
    </w:p>
    <w:sdt>
      <w:sdtPr>
        <w:rPr>
          <w:color w:val="000000" w:themeColor="text1"/>
          <w14:textFill>
            <w14:solidFill>
              <w14:schemeClr w14:val="tx1"/>
            </w14:solidFill>
          </w14:textFill>
        </w:rPr>
        <w:id w:val="-1909835108"/>
        <w:placeholder>
          <w:docPart w:val="B00A88F2938B44E380AB7E479FA6C24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000000" w:themeColor="text1"/>
          <w14:textFill>
            <w14:solidFill>
              <w14:schemeClr w14:val="tx1"/>
            </w14:solidFill>
          </w14:textFill>
        </w:rPr>
      </w:sdtEndPr>
      <w:sdtContent>
        <w:p w14:paraId="2BBC6F1B">
          <w:pPr>
            <w:pStyle w:val="56"/>
            <w:ind w:firstLine="420"/>
            <w:rPr>
              <w:color w:val="000000" w:themeColor="text1"/>
              <w14:textFill>
                <w14:solidFill>
                  <w14:schemeClr w14:val="tx1"/>
                </w14:solidFill>
              </w14:textFill>
            </w:rPr>
          </w:pPr>
          <w:bookmarkStart w:id="68" w:name="_Toc26986532"/>
          <w:bookmarkEnd w:id="68"/>
          <w:r>
            <w:rPr>
              <w:color w:val="000000" w:themeColor="text1"/>
              <w14:textFill>
                <w14:solidFill>
                  <w14:schemeClr w14:val="tx1"/>
                </w14:solidFill>
              </w14:textFill>
            </w:rPr>
            <w:t>下列术语和定义适用于本文件。</w:t>
          </w:r>
        </w:p>
      </w:sdtContent>
    </w:sdt>
    <w:p w14:paraId="0593CD5B">
      <w:pPr>
        <w:pStyle w:val="56"/>
        <w:ind w:firstLine="420"/>
        <w:rPr>
          <w:color w:val="000000" w:themeColor="text1"/>
          <w14:textFill>
            <w14:solidFill>
              <w14:schemeClr w14:val="tx1"/>
            </w14:solidFill>
          </w14:textFill>
        </w:rPr>
      </w:pPr>
    </w:p>
    <w:p w14:paraId="737E1BD4">
      <w:pPr>
        <w:pStyle w:val="223"/>
        <w:ind w:left="420" w:hanging="420" w:hangingChars="20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br w:type="textWrapping"/>
      </w:r>
      <w:bookmarkStart w:id="69" w:name="_Hlk176442824"/>
      <w:r>
        <w:rPr>
          <w:rFonts w:hint="eastAsia" w:ascii="黑体" w:hAnsi="黑体" w:eastAsia="黑体"/>
          <w:color w:val="000000" w:themeColor="text1"/>
          <w14:textFill>
            <w14:solidFill>
              <w14:schemeClr w14:val="tx1"/>
            </w14:solidFill>
          </w14:textFill>
        </w:rPr>
        <w:t>智慧</w:t>
      </w:r>
      <w:r>
        <w:rPr>
          <w:rFonts w:ascii="黑体" w:hAnsi="黑体" w:eastAsia="黑体"/>
          <w:color w:val="000000" w:themeColor="text1"/>
          <w14:textFill>
            <w14:solidFill>
              <w14:schemeClr w14:val="tx1"/>
            </w14:solidFill>
          </w14:textFill>
        </w:rPr>
        <w:t xml:space="preserve">收费站 </w:t>
      </w:r>
      <w:bookmarkEnd w:id="69"/>
      <w:r>
        <w:rPr>
          <w:rFonts w:hint="eastAsia" w:ascii="黑体" w:hAnsi="黑体" w:eastAsia="黑体"/>
          <w:color w:val="000000" w:themeColor="text1"/>
          <w14:textFill>
            <w14:solidFill>
              <w14:schemeClr w14:val="tx1"/>
            </w14:solidFill>
          </w14:textFill>
        </w:rPr>
        <w:t>Smart toll station</w:t>
      </w:r>
    </w:p>
    <w:p w14:paraId="3EC924D9">
      <w:pPr>
        <w:pStyle w:val="56"/>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建设有ETC及自助发卡、收费系统、远程可视交互系统，车道系统以ETC车道、自助车道为主，能实现用户自助完成取卡、交费业务、MTC车辆和ETC车辆有序通行、可提供远程视频交互服务和现场服务的收费站。</w:t>
      </w:r>
    </w:p>
    <w:p w14:paraId="507E164C">
      <w:pPr>
        <w:pStyle w:val="223"/>
        <w:ind w:left="420" w:hanging="420" w:hangingChars="200"/>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br w:type="textWrapping"/>
      </w:r>
      <w:r>
        <w:rPr>
          <w:rFonts w:hint="eastAsia" w:ascii="黑体" w:hAnsi="黑体" w:eastAsia="黑体"/>
          <w:color w:val="000000" w:themeColor="text1"/>
          <w14:textFill>
            <w14:solidFill>
              <w14:schemeClr w14:val="tx1"/>
            </w14:solidFill>
          </w14:textFill>
        </w:rPr>
        <w:t>ETC专用车道ETC dedicated lane</w:t>
      </w:r>
    </w:p>
    <w:p w14:paraId="49F97A42">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仅限ETC车辆不停车通行，自动完成电子收费交易的车道。</w:t>
      </w:r>
    </w:p>
    <w:p w14:paraId="4C79D762">
      <w:pPr>
        <w:pStyle w:val="223"/>
        <w:ind w:left="420" w:hanging="420" w:hangingChars="20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br w:type="textWrapping"/>
      </w:r>
      <w:r>
        <w:rPr>
          <w:rFonts w:hint="eastAsia" w:ascii="黑体" w:hAnsi="黑体" w:eastAsia="黑体"/>
          <w:color w:val="000000" w:themeColor="text1"/>
          <w14:textFill>
            <w14:solidFill>
              <w14:schemeClr w14:val="tx1"/>
            </w14:solidFill>
          </w14:textFill>
        </w:rPr>
        <w:t xml:space="preserve">自助/ETC混合车道Self-service / </w:t>
      </w:r>
      <w:r>
        <w:rPr>
          <w:rFonts w:hint="eastAsia" w:ascii="黑体" w:hAnsi="黑体" w:eastAsia="黑体"/>
          <w:color w:val="000000" w:themeColor="text1"/>
          <w:lang w:val="en-US" w:eastAsia="zh-CN"/>
          <w14:textFill>
            <w14:solidFill>
              <w14:schemeClr w14:val="tx1"/>
            </w14:solidFill>
          </w14:textFill>
        </w:rPr>
        <w:t>ETC</w:t>
      </w:r>
      <w:r>
        <w:rPr>
          <w:rFonts w:hint="eastAsia" w:ascii="黑体" w:hAnsi="黑体" w:eastAsia="黑体"/>
          <w:color w:val="000000" w:themeColor="text1"/>
          <w14:textFill>
            <w14:solidFill>
              <w14:schemeClr w14:val="tx1"/>
            </w14:solidFill>
          </w14:textFill>
        </w:rPr>
        <w:t xml:space="preserve"> mixed lane</w:t>
      </w:r>
    </w:p>
    <w:p w14:paraId="0F1CEA68">
      <w:pPr>
        <w:pStyle w:val="56"/>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车辆通过收费站供用户自助完成取卡、交费业务，实现MTC车辆和ETC车辆</w:t>
      </w:r>
      <w:r>
        <w:rPr>
          <w:rFonts w:hint="eastAsia"/>
          <w:color w:val="000000" w:themeColor="text1"/>
          <w:lang w:val="en-US" w:eastAsia="zh-CN"/>
          <w14:textFill>
            <w14:solidFill>
              <w14:schemeClr w14:val="tx1"/>
            </w14:solidFill>
          </w14:textFill>
        </w:rPr>
        <w:t>混合</w:t>
      </w:r>
      <w:r>
        <w:rPr>
          <w:rFonts w:hint="eastAsia"/>
          <w:color w:val="000000" w:themeColor="text1"/>
          <w14:textFill>
            <w14:solidFill>
              <w14:schemeClr w14:val="tx1"/>
            </w14:solidFill>
          </w14:textFill>
        </w:rPr>
        <w:t>通行的车道。</w:t>
      </w:r>
    </w:p>
    <w:p w14:paraId="7FA29CE9">
      <w:pPr>
        <w:pStyle w:val="223"/>
        <w:ind w:left="420" w:hanging="420" w:hangingChars="20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br w:type="textWrapping"/>
      </w:r>
      <w:r>
        <w:rPr>
          <w:rFonts w:ascii="黑体" w:hAnsi="黑体" w:eastAsia="黑体"/>
          <w:color w:val="000000" w:themeColor="text1"/>
          <w14:textFill>
            <w14:solidFill>
              <w14:schemeClr w14:val="tx1"/>
            </w14:solidFill>
          </w14:textFill>
        </w:rPr>
        <w:t>自助发卡</w:t>
      </w:r>
      <w:r>
        <w:rPr>
          <w:rFonts w:hint="eastAsia" w:ascii="黑体" w:hAnsi="黑体" w:eastAsia="黑体"/>
          <w:color w:val="000000" w:themeColor="text1"/>
          <w14:textFill>
            <w14:solidFill>
              <w14:schemeClr w14:val="tx1"/>
            </w14:solidFill>
          </w14:textFill>
        </w:rPr>
        <w:t>设备Self-service card issuance equipment</w:t>
      </w:r>
    </w:p>
    <w:p w14:paraId="01370DDF">
      <w:pPr>
        <w:pStyle w:val="56"/>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安装于高速公路收费站入口混合车道，</w:t>
      </w:r>
      <w:r>
        <w:rPr>
          <w:rFonts w:hint="eastAsia"/>
          <w:color w:val="000000" w:themeColor="text1"/>
          <w:lang w:val="en-US" w:eastAsia="zh-CN"/>
          <w14:textFill>
            <w14:solidFill>
              <w14:schemeClr w14:val="tx1"/>
            </w14:solidFill>
          </w14:textFill>
        </w:rPr>
        <w:t>由</w:t>
      </w:r>
      <w:r>
        <w:rPr>
          <w:rFonts w:hint="eastAsia"/>
          <w:color w:val="000000" w:themeColor="text1"/>
          <w14:textFill>
            <w14:solidFill>
              <w14:schemeClr w14:val="tx1"/>
            </w14:solidFill>
          </w14:textFill>
        </w:rPr>
        <w:t>用户自助操作</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完成CPC卡取卡的自</w:t>
      </w:r>
      <w:r>
        <w:rPr>
          <w:rFonts w:hint="eastAsia"/>
          <w:color w:val="000000" w:themeColor="text1"/>
          <w:lang w:val="en-US" w:eastAsia="zh-CN"/>
          <w14:textFill>
            <w14:solidFill>
              <w14:schemeClr w14:val="tx1"/>
            </w14:solidFill>
          </w14:textFill>
        </w:rPr>
        <w:t>动</w:t>
      </w:r>
      <w:r>
        <w:rPr>
          <w:rFonts w:hint="eastAsia"/>
          <w:color w:val="000000" w:themeColor="text1"/>
          <w14:textFill>
            <w14:solidFill>
              <w14:schemeClr w14:val="tx1"/>
            </w14:solidFill>
          </w14:textFill>
        </w:rPr>
        <w:t>化服务设备。</w:t>
      </w:r>
    </w:p>
    <w:p w14:paraId="0E3AABC8">
      <w:pPr>
        <w:pStyle w:val="223"/>
        <w:ind w:left="420" w:hanging="420" w:hangingChars="20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br w:type="textWrapping"/>
      </w:r>
      <w:r>
        <w:rPr>
          <w:rFonts w:ascii="黑体" w:hAnsi="黑体" w:eastAsia="黑体"/>
          <w:color w:val="000000" w:themeColor="text1"/>
          <w14:textFill>
            <w14:solidFill>
              <w14:schemeClr w14:val="tx1"/>
            </w14:solidFill>
          </w14:textFill>
        </w:rPr>
        <w:t>自助</w:t>
      </w:r>
      <w:r>
        <w:rPr>
          <w:rFonts w:hint="eastAsia" w:ascii="黑体" w:hAnsi="黑体" w:eastAsia="黑体"/>
          <w:color w:val="000000" w:themeColor="text1"/>
          <w:lang w:val="en-US" w:eastAsia="zh-CN"/>
          <w14:textFill>
            <w14:solidFill>
              <w14:schemeClr w14:val="tx1"/>
            </w14:solidFill>
          </w14:textFill>
        </w:rPr>
        <w:t>缴</w:t>
      </w:r>
      <w:r>
        <w:rPr>
          <w:rFonts w:ascii="黑体" w:hAnsi="黑体" w:eastAsia="黑体"/>
          <w:color w:val="000000" w:themeColor="text1"/>
          <w14:textFill>
            <w14:solidFill>
              <w14:schemeClr w14:val="tx1"/>
            </w14:solidFill>
          </w14:textFill>
        </w:rPr>
        <w:t>费</w:t>
      </w:r>
      <w:r>
        <w:rPr>
          <w:rFonts w:hint="eastAsia" w:ascii="黑体" w:hAnsi="黑体" w:eastAsia="黑体"/>
          <w:color w:val="000000" w:themeColor="text1"/>
          <w14:textFill>
            <w14:solidFill>
              <w14:schemeClr w14:val="tx1"/>
            </w14:solidFill>
          </w14:textFill>
        </w:rPr>
        <w:t>设备Self-service payment equipment</w:t>
      </w:r>
    </w:p>
    <w:p w14:paraId="4F6D700C">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安装于高速公路收费站出口混合车道，由用户自</w:t>
      </w:r>
      <w:r>
        <w:rPr>
          <w:rFonts w:hint="eastAsia"/>
          <w:color w:val="000000" w:themeColor="text1"/>
          <w:lang w:val="en-US" w:eastAsia="zh-CN"/>
          <w14:textFill>
            <w14:solidFill>
              <w14:schemeClr w14:val="tx1"/>
            </w14:solidFill>
          </w14:textFill>
        </w:rPr>
        <w:t>助</w:t>
      </w:r>
      <w:r>
        <w:rPr>
          <w:rFonts w:hint="eastAsia"/>
          <w:color w:val="000000" w:themeColor="text1"/>
          <w14:textFill>
            <w14:solidFill>
              <w14:schemeClr w14:val="tx1"/>
            </w14:solidFill>
          </w14:textFill>
        </w:rPr>
        <w:t>操作，设备自主完成CPC卡回收、通行费交易的自动化设备。</w:t>
      </w:r>
    </w:p>
    <w:p w14:paraId="183CFCC3">
      <w:pPr>
        <w:pStyle w:val="223"/>
        <w:ind w:left="420" w:hanging="420" w:hangingChars="200"/>
        <w:rPr>
          <w:rFonts w:hint="eastAsia"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br w:type="textWrapping"/>
      </w:r>
      <w:r>
        <w:rPr>
          <w:rFonts w:hint="eastAsia" w:ascii="黑体" w:hAnsi="黑体" w:eastAsia="黑体"/>
          <w:color w:val="000000" w:themeColor="text1"/>
          <w14:textFill>
            <w14:solidFill>
              <w14:schemeClr w14:val="tx1"/>
            </w14:solidFill>
          </w14:textFill>
        </w:rPr>
        <w:t>手持终端</w:t>
      </w:r>
      <w:r>
        <w:rPr>
          <w:rFonts w:hint="eastAsia" w:ascii="黑体" w:hAnsi="黑体" w:eastAsia="黑体"/>
          <w:color w:val="000000" w:themeColor="text1"/>
          <w:lang w:val="en-US" w:eastAsia="zh-CN"/>
          <w14:textFill>
            <w14:solidFill>
              <w14:schemeClr w14:val="tx1"/>
            </w14:solidFill>
          </w14:textFill>
        </w:rPr>
        <w:t>H</w:t>
      </w:r>
      <w:r>
        <w:rPr>
          <w:rFonts w:hint="eastAsia" w:ascii="黑体" w:hAnsi="黑体" w:eastAsia="黑体"/>
          <w:color w:val="000000" w:themeColor="text1"/>
          <w14:textFill>
            <w14:solidFill>
              <w14:schemeClr w14:val="tx1"/>
            </w14:solidFill>
          </w14:textFill>
        </w:rPr>
        <w:t>andheld terminal</w:t>
      </w:r>
    </w:p>
    <w:p w14:paraId="6D6352DF">
      <w:pPr>
        <w:pStyle w:val="56"/>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具备入口发卡、出口收费</w:t>
      </w:r>
      <w:r>
        <w:rPr>
          <w:rFonts w:hint="eastAsia"/>
          <w:color w:val="000000" w:themeColor="text1"/>
          <w:lang w:val="en-US" w:eastAsia="zh-CN"/>
          <w14:textFill>
            <w14:solidFill>
              <w14:schemeClr w14:val="tx1"/>
            </w14:solidFill>
          </w14:textFill>
        </w:rPr>
        <w:t>以及</w:t>
      </w:r>
      <w:r>
        <w:rPr>
          <w:rFonts w:hint="eastAsia"/>
          <w:color w:val="000000" w:themeColor="text1"/>
          <w14:textFill>
            <w14:solidFill>
              <w14:schemeClr w14:val="tx1"/>
            </w14:solidFill>
          </w14:textFill>
        </w:rPr>
        <w:t>特情处理功能的便携式收费终端系统。</w:t>
      </w:r>
    </w:p>
    <w:p w14:paraId="139F24C5">
      <w:pPr>
        <w:pStyle w:val="223"/>
        <w:rPr>
          <w:rFonts w:hint="eastAsia"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br w:type="textWrapping"/>
      </w:r>
      <w:r>
        <w:rPr>
          <w:rFonts w:hint="eastAsia" w:ascii="黑体" w:hAnsi="黑体" w:eastAsia="黑体"/>
          <w:color w:val="000000" w:themeColor="text1"/>
          <w14:textFill>
            <w14:solidFill>
              <w14:schemeClr w14:val="tx1"/>
            </w14:solidFill>
          </w14:textFill>
        </w:rPr>
        <w:t xml:space="preserve">    匝道预交易系统</w:t>
      </w:r>
      <w:r>
        <w:rPr>
          <w:rFonts w:ascii="黑体" w:hAnsi="黑体" w:eastAsia="黑体"/>
          <w:color w:val="000000" w:themeColor="text1"/>
          <w14:textFill>
            <w14:solidFill>
              <w14:schemeClr w14:val="tx1"/>
            </w14:solidFill>
          </w14:textFill>
        </w:rPr>
        <w:t>Ramp pre-transaction system</w:t>
      </w:r>
    </w:p>
    <w:p w14:paraId="7F53D62E">
      <w:pPr>
        <w:pStyle w:val="56"/>
        <w:ind w:firstLine="420"/>
        <w:rPr>
          <w:rFonts w:hint="eastAsia" w:ascii="宋体" w:hAnsi="Times New Roman" w:eastAsia="宋体" w:cs="Times New Roman"/>
          <w:color w:val="000000" w:themeColor="text1"/>
          <w:lang w:eastAsia="zh-CN"/>
          <w14:textFill>
            <w14:solidFill>
              <w14:schemeClr w14:val="tx1"/>
            </w14:solidFill>
          </w14:textFill>
        </w:rPr>
      </w:pPr>
      <w:r>
        <w:rPr>
          <w:rFonts w:hint="eastAsia" w:cs="Times New Roman"/>
          <w:color w:val="000000" w:themeColor="text1"/>
          <w:lang w:eastAsia="zh-CN"/>
          <w14:textFill>
            <w14:solidFill>
              <w14:schemeClr w14:val="tx1"/>
            </w14:solidFill>
          </w14:textFill>
        </w:rPr>
        <w:t>在收费站匝道部署ETC用户交易、CPC卡计费及车辆通行诱导装置，系统具备交易成功与否的提示功能。将ETC交易提前至匝道进行，并自动识别区分ETC交易结果与CPC卡用户。根据交易结果及收费站各车道车辆通行状况，智能诱导车辆快速通行，有效缩短车道交易时间，提升车辆一次性通过率。</w:t>
      </w:r>
    </w:p>
    <w:p w14:paraId="17700625">
      <w:pPr>
        <w:pStyle w:val="56"/>
        <w:ind w:firstLine="420"/>
        <w:rPr>
          <w:rFonts w:hint="eastAsia"/>
          <w:color w:val="000000" w:themeColor="text1"/>
          <w14:textFill>
            <w14:solidFill>
              <w14:schemeClr w14:val="tx1"/>
            </w14:solidFill>
          </w14:textFill>
        </w:rPr>
      </w:pPr>
    </w:p>
    <w:p w14:paraId="04EBF1D9">
      <w:pPr>
        <w:pStyle w:val="223"/>
        <w:rPr>
          <w:rFonts w:hint="eastAsia"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br w:type="textWrapping"/>
      </w:r>
      <w:r>
        <w:rPr>
          <w:rFonts w:hint="eastAsia" w:ascii="黑体" w:hAnsi="黑体" w:eastAsia="黑体"/>
          <w:color w:val="000000" w:themeColor="text1"/>
          <w14:textFill>
            <w14:solidFill>
              <w14:schemeClr w14:val="tx1"/>
            </w14:solidFill>
          </w14:textFill>
        </w:rPr>
        <w:t xml:space="preserve">    云收费系统</w:t>
      </w:r>
      <w:r>
        <w:rPr>
          <w:rFonts w:ascii="黑体" w:hAnsi="黑体" w:eastAsia="黑体"/>
          <w:color w:val="000000" w:themeColor="text1"/>
          <w14:textFill>
            <w14:solidFill>
              <w14:schemeClr w14:val="tx1"/>
            </w14:solidFill>
          </w14:textFill>
        </w:rPr>
        <w:t>Cloud charging system</w:t>
      </w:r>
    </w:p>
    <w:p w14:paraId="1030AE37">
      <w:pPr>
        <w:pStyle w:val="223"/>
        <w:numPr>
          <w:ilvl w:val="2"/>
          <w:numId w:val="0"/>
        </w:numPr>
        <w:ind w:leftChars="0" w:firstLine="420" w:firstLineChars="200"/>
        <w:rPr>
          <w:rFonts w:hint="eastAsia" w:ascii="黑体" w:hAnsi="黑体" w:eastAsia="黑体"/>
          <w:color w:val="000000" w:themeColor="text1"/>
          <w14:textFill>
            <w14:solidFill>
              <w14:schemeClr w14:val="tx1"/>
            </w14:solidFill>
          </w14:textFill>
        </w:rPr>
      </w:pPr>
      <w:r>
        <w:rPr>
          <w:rFonts w:hint="eastAsia"/>
          <w:color w:val="000000" w:themeColor="text1"/>
          <w14:textFill>
            <w14:solidFill>
              <w14:schemeClr w14:val="tx1"/>
            </w14:solidFill>
          </w14:textFill>
        </w:rPr>
        <w:t>采用“云、边、端”一体化协同架构，由收费运营云平台、后台所站级系统和前端车道设备三部分组成。云平台是核心，负责数据处理、计费结算等；边缘设备如车道控制盒等，进行数据采集和初步处理；终端设备包括车牌识别仪、摄像头等，直接与车辆交互。</w:t>
      </w:r>
      <w:r>
        <w:rPr>
          <w:rFonts w:ascii="黑体" w:hAnsi="黑体" w:eastAsia="黑体"/>
          <w:color w:val="000000" w:themeColor="text1"/>
          <w14:textFill>
            <w14:solidFill>
              <w14:schemeClr w14:val="tx1"/>
            </w14:solidFill>
          </w14:textFill>
        </w:rPr>
        <w:br w:type="textWrapping"/>
      </w:r>
      <w:r>
        <w:rPr>
          <w:rFonts w:hint="eastAsia" w:ascii="黑体" w:hAnsi="黑体" w:eastAsia="黑体"/>
          <w:color w:val="000000" w:themeColor="text1"/>
          <w14:textFill>
            <w14:solidFill>
              <w14:schemeClr w14:val="tx1"/>
            </w14:solidFill>
          </w14:textFill>
        </w:rPr>
        <w:t xml:space="preserve">    移动收费程序</w:t>
      </w:r>
      <w:r>
        <w:rPr>
          <w:rFonts w:ascii="黑体" w:hAnsi="黑体" w:eastAsia="黑体"/>
          <w:color w:val="000000" w:themeColor="text1"/>
          <w14:textFill>
            <w14:solidFill>
              <w14:schemeClr w14:val="tx1"/>
            </w14:solidFill>
          </w14:textFill>
        </w:rPr>
        <w:t>Mobile charging program</w:t>
      </w:r>
    </w:p>
    <w:p w14:paraId="7B977E6F">
      <w:pPr>
        <w:pStyle w:val="56"/>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供用户通过手机、平板等移动终端设备线上支付车辆通行费的软件程序。</w:t>
      </w:r>
    </w:p>
    <w:p w14:paraId="482D39FB">
      <w:pPr>
        <w:pStyle w:val="223"/>
        <w:rPr>
          <w:rFonts w:hint="eastAsia"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br w:type="textWrapping"/>
      </w:r>
      <w:r>
        <w:rPr>
          <w:rFonts w:hint="eastAsia" w:ascii="黑体" w:hAnsi="黑体" w:eastAsia="黑体"/>
          <w:color w:val="000000" w:themeColor="text1"/>
          <w14:textFill>
            <w14:solidFill>
              <w14:schemeClr w14:val="tx1"/>
            </w14:solidFill>
          </w14:textFill>
        </w:rPr>
        <w:t xml:space="preserve">    远程可视交互系统</w:t>
      </w:r>
      <w:r>
        <w:rPr>
          <w:rFonts w:ascii="黑体" w:hAnsi="黑体" w:eastAsia="黑体"/>
          <w:color w:val="000000" w:themeColor="text1"/>
          <w14:textFill>
            <w14:solidFill>
              <w14:schemeClr w14:val="tx1"/>
            </w14:solidFill>
          </w14:textFill>
        </w:rPr>
        <w:t>Remote visual interactive system</w:t>
      </w:r>
    </w:p>
    <w:p w14:paraId="29AEA711">
      <w:pPr>
        <w:pStyle w:val="56"/>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采用信息技术和通信设备，对收费站车道设备及运行情况实施远程监控和管理，当发生异常情况时，可自动发送异常信息预警至远程监测平台，工作人员通过远程监测平台与用户视频连线交互和处理异常信息的系统。</w:t>
      </w:r>
    </w:p>
    <w:p w14:paraId="34D17714">
      <w:pPr>
        <w:pStyle w:val="223"/>
        <w:rPr>
          <w:rFonts w:hint="eastAsia"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br w:type="textWrapping"/>
      </w:r>
      <w:r>
        <w:rPr>
          <w:rFonts w:hint="eastAsia" w:ascii="黑体" w:hAnsi="黑体" w:eastAsia="黑体"/>
          <w:color w:val="000000" w:themeColor="text1"/>
          <w14:textFill>
            <w14:solidFill>
              <w14:schemeClr w14:val="tx1"/>
            </w14:solidFill>
          </w14:textFill>
        </w:rPr>
        <w:t xml:space="preserve">    综合服务站</w:t>
      </w:r>
      <w:r>
        <w:rPr>
          <w:rFonts w:ascii="黑体" w:hAnsi="黑体" w:eastAsia="黑体"/>
          <w:color w:val="000000" w:themeColor="text1"/>
          <w14:textFill>
            <w14:solidFill>
              <w14:schemeClr w14:val="tx1"/>
            </w14:solidFill>
          </w14:textFill>
        </w:rPr>
        <w:t>Comprehensive service station</w:t>
      </w:r>
    </w:p>
    <w:p w14:paraId="605CDDAE">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在高速公路收费广场附近设置，集远程值守、特情处置、系统维护、站务办公、后台稽查</w:t>
      </w:r>
      <w:r>
        <w:rPr>
          <w:rFonts w:hint="eastAsia"/>
          <w:color w:val="000000" w:themeColor="text1"/>
          <w:lang w:val="en-US" w:eastAsia="zh-CN"/>
          <w14:textFill>
            <w14:solidFill>
              <w14:schemeClr w14:val="tx1"/>
            </w14:solidFill>
          </w14:textFill>
        </w:rPr>
        <w:t>以及</w:t>
      </w:r>
      <w:r>
        <w:rPr>
          <w:rFonts w:hint="eastAsia"/>
          <w:color w:val="000000" w:themeColor="text1"/>
          <w14:textFill>
            <w14:solidFill>
              <w14:schemeClr w14:val="tx1"/>
            </w14:solidFill>
          </w14:textFill>
        </w:rPr>
        <w:t>服务司乘等多功能于一体的综合性运营、服务场所。</w:t>
      </w:r>
    </w:p>
    <w:p w14:paraId="44F8AFFB">
      <w:pPr>
        <w:pStyle w:val="104"/>
        <w:spacing w:before="312" w:after="312"/>
        <w:rPr>
          <w:color w:val="000000" w:themeColor="text1"/>
          <w14:textFill>
            <w14:solidFill>
              <w14:schemeClr w14:val="tx1"/>
            </w14:solidFill>
          </w14:textFill>
        </w:rPr>
      </w:pPr>
      <w:bookmarkStart w:id="70" w:name="_Toc176447241"/>
      <w:bookmarkStart w:id="71" w:name="_Toc176447280"/>
      <w:r>
        <w:rPr>
          <w:rFonts w:hint="eastAsia"/>
          <w:color w:val="000000" w:themeColor="text1"/>
          <w14:textFill>
            <w14:solidFill>
              <w14:schemeClr w14:val="tx1"/>
            </w14:solidFill>
          </w14:textFill>
        </w:rPr>
        <w:t>功能布局</w:t>
      </w:r>
      <w:bookmarkEnd w:id="70"/>
      <w:bookmarkEnd w:id="71"/>
    </w:p>
    <w:p w14:paraId="0053345B">
      <w:pPr>
        <w:pStyle w:val="105"/>
        <w:spacing w:before="156" w:after="156"/>
        <w:rPr>
          <w:color w:val="000000" w:themeColor="text1"/>
          <w14:textFill>
            <w14:solidFill>
              <w14:schemeClr w14:val="tx1"/>
            </w14:solidFill>
          </w14:textFill>
        </w:rPr>
      </w:pPr>
      <w:bookmarkStart w:id="72" w:name="_Toc176447242"/>
      <w:r>
        <w:rPr>
          <w:rFonts w:hint="eastAsia"/>
          <w:color w:val="000000" w:themeColor="text1"/>
          <w14:textFill>
            <w14:solidFill>
              <w14:schemeClr w14:val="tx1"/>
            </w14:solidFill>
          </w14:textFill>
        </w:rPr>
        <w:t>ETC专用车道</w:t>
      </w:r>
      <w:bookmarkEnd w:id="72"/>
    </w:p>
    <w:p w14:paraId="6DCEA15B">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专门供应给安装了车载器(OBU)的ETC车辆实现不停车通行，能够自动完成交易；</w:t>
      </w:r>
    </w:p>
    <w:p w14:paraId="4793EA7C">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非状态名单和安装了车载器（OBU）设备的ETC用户均可通行；</w:t>
      </w:r>
    </w:p>
    <w:p w14:paraId="1911DBC4">
      <w:pPr>
        <w:pStyle w:val="165"/>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有效ETC车辆交易成功率不低于99%；</w:t>
      </w:r>
    </w:p>
    <w:p w14:paraId="2E3F85B3">
      <w:pPr>
        <w:pStyle w:val="165"/>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车辆交易流水（含车辆抓拍图片）能自动匹配，并按接口规范要求上传至收费站系统；</w:t>
      </w:r>
    </w:p>
    <w:p w14:paraId="475885E6">
      <w:pPr>
        <w:pStyle w:val="165"/>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非状态名单ETC用户可自行刷卡读写ETC卡通行信息并完成交易起杆。</w:t>
      </w:r>
    </w:p>
    <w:p w14:paraId="7C0CE1FD">
      <w:pPr>
        <w:pStyle w:val="105"/>
        <w:spacing w:before="156" w:after="156"/>
        <w:rPr>
          <w:color w:val="000000" w:themeColor="text1"/>
          <w14:textFill>
            <w14:solidFill>
              <w14:schemeClr w14:val="tx1"/>
            </w14:solidFill>
          </w14:textFill>
        </w:rPr>
      </w:pPr>
      <w:bookmarkStart w:id="73" w:name="_Toc176447243"/>
      <w:r>
        <w:rPr>
          <w:rFonts w:hint="eastAsia"/>
          <w:color w:val="000000" w:themeColor="text1"/>
          <w14:textFill>
            <w14:solidFill>
              <w14:schemeClr w14:val="tx1"/>
            </w14:solidFill>
          </w14:textFill>
        </w:rPr>
        <w:t>自助/ETC 混合车道</w:t>
      </w:r>
      <w:bookmarkEnd w:id="73"/>
    </w:p>
    <w:p w14:paraId="47894275">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安装了自助发卡/</w:t>
      </w:r>
      <w:r>
        <w:rPr>
          <w:rFonts w:hint="eastAsia"/>
          <w:color w:val="000000" w:themeColor="text1"/>
          <w:lang w:val="en-US" w:eastAsia="zh-CN"/>
          <w14:textFill>
            <w14:solidFill>
              <w14:schemeClr w14:val="tx1"/>
            </w14:solidFill>
          </w14:textFill>
        </w:rPr>
        <w:t>缴</w:t>
      </w:r>
      <w:r>
        <w:rPr>
          <w:rFonts w:hint="eastAsia"/>
          <w:color w:val="000000" w:themeColor="text1"/>
          <w14:textFill>
            <w14:solidFill>
              <w14:schemeClr w14:val="tx1"/>
            </w14:solidFill>
          </w14:textFill>
        </w:rPr>
        <w:t>费设备，具备自助取卡/</w:t>
      </w:r>
      <w:r>
        <w:rPr>
          <w:rFonts w:hint="eastAsia"/>
          <w:color w:val="000000" w:themeColor="text1"/>
          <w:lang w:val="en-US" w:eastAsia="zh-CN"/>
          <w14:textFill>
            <w14:solidFill>
              <w14:schemeClr w14:val="tx1"/>
            </w14:solidFill>
          </w14:textFill>
        </w:rPr>
        <w:t>缴</w:t>
      </w:r>
      <w:r>
        <w:rPr>
          <w:rFonts w:hint="eastAsia"/>
          <w:color w:val="000000" w:themeColor="text1"/>
          <w14:textFill>
            <w14:solidFill>
              <w14:schemeClr w14:val="tx1"/>
            </w14:solidFill>
          </w14:textFill>
        </w:rPr>
        <w:t>费、称重检测及ETC通行服务功能，满足所有MTC车辆和ETC车辆通行；</w:t>
      </w:r>
    </w:p>
    <w:p w14:paraId="2EF9F535">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客车和货车的MTC及有效ETC车辆用户均可通行；</w:t>
      </w:r>
    </w:p>
    <w:p w14:paraId="6F054522">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车牌、车型</w:t>
      </w:r>
      <w:r>
        <w:rPr>
          <w:rFonts w:hint="eastAsia"/>
          <w:color w:val="000000" w:themeColor="text1"/>
          <w:lang w:val="en-US" w:eastAsia="zh-CN"/>
          <w14:textFill>
            <w14:solidFill>
              <w14:schemeClr w14:val="tx1"/>
            </w14:solidFill>
          </w14:textFill>
        </w:rPr>
        <w:t>识别</w:t>
      </w:r>
      <w:r>
        <w:rPr>
          <w:rFonts w:hint="eastAsia"/>
          <w:color w:val="000000" w:themeColor="text1"/>
          <w14:textFill>
            <w14:solidFill>
              <w14:schemeClr w14:val="tx1"/>
            </w14:solidFill>
          </w14:textFill>
        </w:rPr>
        <w:t>准确率不低于99%；</w:t>
      </w:r>
    </w:p>
    <w:p w14:paraId="39DC9051">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车辆交易流水（含车辆抓拍图片）能自动匹配，并按接口规范要求上传至收费站系统；</w:t>
      </w:r>
    </w:p>
    <w:p w14:paraId="2A42A277">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异常情况可自动启用远程交互系统恢复内容，实现远程交互和解决问题。</w:t>
      </w:r>
    </w:p>
    <w:p w14:paraId="2A555B53">
      <w:pPr>
        <w:pStyle w:val="105"/>
        <w:spacing w:before="156" w:after="156"/>
        <w:rPr>
          <w:color w:val="000000" w:themeColor="text1"/>
          <w14:textFill>
            <w14:solidFill>
              <w14:schemeClr w14:val="tx1"/>
            </w14:solidFill>
          </w14:textFill>
        </w:rPr>
      </w:pPr>
      <w:bookmarkStart w:id="74" w:name="_Toc176447244"/>
      <w:r>
        <w:rPr>
          <w:rFonts w:hint="eastAsia"/>
          <w:color w:val="000000" w:themeColor="text1"/>
          <w14:textFill>
            <w14:solidFill>
              <w14:schemeClr w14:val="tx1"/>
            </w14:solidFill>
          </w14:textFill>
        </w:rPr>
        <w:t>自助发卡设备</w:t>
      </w:r>
      <w:bookmarkEnd w:id="74"/>
    </w:p>
    <w:p w14:paraId="7C67F75A">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具备向通行车辆发放CPC卡的功能，精确识别车辆的车窗位置和停靠距离，通过机械装置向车窗位置精准发放CPC卡；</w:t>
      </w:r>
    </w:p>
    <w:p w14:paraId="192319B2">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具备自动回收坏卡功能；</w:t>
      </w:r>
    </w:p>
    <w:p w14:paraId="53789C95">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具备发放纸质通行券功能； </w:t>
      </w:r>
    </w:p>
    <w:p w14:paraId="408E4503">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具备求助、语音提示、语音对讲、视频交互等人机交互功能，语音对讲支持回音消除、环境降噪和音量调节功能； </w:t>
      </w:r>
    </w:p>
    <w:p w14:paraId="6EB01170">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具备工作温度自动控制、支持北斗时钟同步和软件在线升级功能； </w:t>
      </w:r>
    </w:p>
    <w:p w14:paraId="689415EC">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具备监测整机及各功能模块工作运行状态、卡片数量功能，实时上传状态信息，在设备异常、无卡情况下进行声光报警提示，具备温/湿度、烟雾及水浸等环境监测功能和防雷电、过电保护能力</w:t>
      </w:r>
      <w:r>
        <w:rPr>
          <w:rFonts w:hint="eastAsia"/>
          <w:color w:val="000000" w:themeColor="text1"/>
          <w:lang w:val="en-US" w:eastAsia="zh-CN"/>
          <w14:textFill>
            <w14:solidFill>
              <w14:schemeClr w14:val="tx1"/>
            </w14:solidFill>
          </w14:textFill>
        </w:rPr>
        <w:t>；</w:t>
      </w:r>
    </w:p>
    <w:p w14:paraId="377B4A46">
      <w:pPr>
        <w:pStyle w:val="105"/>
        <w:spacing w:before="156" w:after="156"/>
        <w:rPr>
          <w:color w:val="000000" w:themeColor="text1"/>
          <w14:textFill>
            <w14:solidFill>
              <w14:schemeClr w14:val="tx1"/>
            </w14:solidFill>
          </w14:textFill>
        </w:rPr>
      </w:pPr>
      <w:bookmarkStart w:id="75" w:name="_Toc176447245"/>
      <w:r>
        <w:rPr>
          <w:rFonts w:hint="eastAsia"/>
          <w:color w:val="000000" w:themeColor="text1"/>
          <w14:textFill>
            <w14:solidFill>
              <w14:schemeClr w14:val="tx1"/>
            </w14:solidFill>
          </w14:textFill>
        </w:rPr>
        <w:t>自助</w:t>
      </w:r>
      <w:r>
        <w:rPr>
          <w:rFonts w:hint="eastAsia"/>
          <w:color w:val="000000" w:themeColor="text1"/>
          <w:lang w:val="en-US" w:eastAsia="zh-CN"/>
          <w14:textFill>
            <w14:solidFill>
              <w14:schemeClr w14:val="tx1"/>
            </w14:solidFill>
          </w14:textFill>
        </w:rPr>
        <w:t>缴费</w:t>
      </w:r>
      <w:r>
        <w:rPr>
          <w:rFonts w:hint="eastAsia"/>
          <w:color w:val="000000" w:themeColor="text1"/>
          <w14:textFill>
            <w14:solidFill>
              <w14:schemeClr w14:val="tx1"/>
            </w14:solidFill>
          </w14:textFill>
        </w:rPr>
        <w:t>设备</w:t>
      </w:r>
      <w:bookmarkEnd w:id="75"/>
    </w:p>
    <w:p w14:paraId="669CFBB2">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具备CPC卡与ETC卡识别、读写和通行费交易功能，识别异常卡片并退还；</w:t>
      </w:r>
    </w:p>
    <w:p w14:paraId="5D217E53">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具备识别车辆的停靠位置和距离，能通过机械装置向用户提供CPC卡回收途径；  </w:t>
      </w:r>
    </w:p>
    <w:p w14:paraId="273FB40B">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具备求助、语音提示、语音对讲、视频交互等功能，语音对讲支持回音消除、环境降噪和音量调节功能； </w:t>
      </w:r>
    </w:p>
    <w:p w14:paraId="253C4880">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具备工作温度自动控制、支持北斗时钟同步和软件在线升级功能；</w:t>
      </w:r>
    </w:p>
    <w:p w14:paraId="6B021B68">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具备监测整机及各功能模块工作运行状态、卡片数量功能，实时上传状态信息，在设备异常、无卡情况下进行声光报警提示，具备温/湿度、烟雾及水浸等环境监测功能和防雷电、过电保护能力</w:t>
      </w:r>
      <w:r>
        <w:rPr>
          <w:rFonts w:hint="eastAsia"/>
          <w:color w:val="000000" w:themeColor="text1"/>
          <w:lang w:val="en-US" w:eastAsia="zh-CN"/>
          <w14:textFill>
            <w14:solidFill>
              <w14:schemeClr w14:val="tx1"/>
            </w14:solidFill>
          </w14:textFill>
        </w:rPr>
        <w:t>；</w:t>
      </w:r>
    </w:p>
    <w:p w14:paraId="68AB64ED">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自助交费设备支持支付宝、微信等移动支付收款功能</w:t>
      </w:r>
      <w:r>
        <w:rPr>
          <w:rFonts w:hint="eastAsia"/>
          <w:color w:val="000000" w:themeColor="text1"/>
          <w:lang w:eastAsia="zh-CN"/>
          <w14:textFill>
            <w14:solidFill>
              <w14:schemeClr w14:val="tx1"/>
            </w14:solidFill>
          </w14:textFill>
        </w:rPr>
        <w:t>。</w:t>
      </w:r>
    </w:p>
    <w:p w14:paraId="43F768C4">
      <w:pPr>
        <w:pStyle w:val="105"/>
        <w:spacing w:before="156" w:after="156"/>
        <w:rPr>
          <w:color w:val="000000" w:themeColor="text1"/>
          <w14:textFill>
            <w14:solidFill>
              <w14:schemeClr w14:val="tx1"/>
            </w14:solidFill>
          </w14:textFill>
        </w:rPr>
      </w:pPr>
      <w:bookmarkStart w:id="76" w:name="_Toc176447246"/>
      <w:r>
        <w:rPr>
          <w:rFonts w:hint="eastAsia"/>
          <w:color w:val="000000" w:themeColor="text1"/>
          <w14:textFill>
            <w14:solidFill>
              <w14:schemeClr w14:val="tx1"/>
            </w14:solidFill>
          </w14:textFill>
        </w:rPr>
        <w:t>手持终端</w:t>
      </w:r>
      <w:bookmarkEnd w:id="76"/>
    </w:p>
    <w:p w14:paraId="2092E722">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具备车牌识别、介质信息（含 OBU、ETC 卡和 CPC 卡）读写等功能； </w:t>
      </w:r>
    </w:p>
    <w:p w14:paraId="0827ACEC">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基于部署在省联网中心或区域/路段中心的应用软件，完成现金、ETC卡、移动支付方式的通行车辆交费和特情处置功能，生成交易数据实时回传站级系统； </w:t>
      </w:r>
    </w:p>
    <w:p w14:paraId="7BF9383C">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具备车道机电设备控制、车道队列管理、软件版本检测及一键升级功能； </w:t>
      </w:r>
    </w:p>
    <w:p w14:paraId="58748BDE">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支持纸质通行券、无通行介质车辆的交易处理； </w:t>
      </w:r>
    </w:p>
    <w:p w14:paraId="15E9A9C7">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支持打印通行费凭据。</w:t>
      </w:r>
    </w:p>
    <w:p w14:paraId="76A57B3C">
      <w:pPr>
        <w:pStyle w:val="105"/>
        <w:spacing w:before="156" w:after="156"/>
        <w:rPr>
          <w:color w:val="000000" w:themeColor="text1"/>
          <w14:textFill>
            <w14:solidFill>
              <w14:schemeClr w14:val="tx1"/>
            </w14:solidFill>
          </w14:textFill>
        </w:rPr>
      </w:pPr>
      <w:bookmarkStart w:id="77" w:name="_Toc176447247"/>
      <w:r>
        <w:rPr>
          <w:rFonts w:hint="eastAsia"/>
          <w:color w:val="000000" w:themeColor="text1"/>
          <w14:textFill>
            <w14:solidFill>
              <w14:schemeClr w14:val="tx1"/>
            </w14:solidFill>
          </w14:textFill>
        </w:rPr>
        <w:t>匝道预交易系统</w:t>
      </w:r>
      <w:bookmarkEnd w:id="77"/>
    </w:p>
    <w:p w14:paraId="695A41B2">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具备自动识别ETC用户交易结果、CPC卡用户的功能；</w:t>
      </w:r>
    </w:p>
    <w:p w14:paraId="7FEDA302">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支持ETC设备的预交易及出口CPC卡的预计费功能；</w:t>
      </w:r>
    </w:p>
    <w:p w14:paraId="055FEFE6">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包括但不限于手机预约支付、CPC卡预计费后手机（移动终端）支付和移动收费设备及车道现场支付等方式，方便用户多途径完成交费，提高通行效率；</w:t>
      </w:r>
    </w:p>
    <w:p w14:paraId="1E630179">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匝道预交易后收费车道能够自动匹配交易数据并起杆放行。</w:t>
      </w:r>
    </w:p>
    <w:p w14:paraId="1648568E">
      <w:pPr>
        <w:pStyle w:val="105"/>
        <w:spacing w:before="156" w:after="156"/>
        <w:rPr>
          <w:color w:val="000000" w:themeColor="text1"/>
          <w14:textFill>
            <w14:solidFill>
              <w14:schemeClr w14:val="tx1"/>
            </w14:solidFill>
          </w14:textFill>
        </w:rPr>
      </w:pPr>
      <w:bookmarkStart w:id="78" w:name="_Toc176447248"/>
      <w:r>
        <w:rPr>
          <w:rFonts w:hint="eastAsia"/>
          <w:color w:val="000000" w:themeColor="text1"/>
          <w14:textFill>
            <w14:solidFill>
              <w14:schemeClr w14:val="tx1"/>
            </w14:solidFill>
          </w14:textFill>
        </w:rPr>
        <w:t>云收费系统</w:t>
      </w:r>
      <w:bookmarkEnd w:id="78"/>
    </w:p>
    <w:p w14:paraId="5DE5A6DE">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具备部署路段或所、站级车道交易服务、站级计费服务等的能力；</w:t>
      </w:r>
    </w:p>
    <w:p w14:paraId="7EF77C52">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满足支撑车道交易的计算能力和</w:t>
      </w:r>
      <w:r>
        <w:rPr>
          <w:rFonts w:hint="eastAsia"/>
          <w:color w:val="000000" w:themeColor="text1"/>
          <w:lang w:val="en-US" w:eastAsia="zh-CN"/>
          <w14:textFill>
            <w14:solidFill>
              <w14:schemeClr w14:val="tx1"/>
            </w14:solidFill>
          </w14:textFill>
        </w:rPr>
        <w:t>72</w:t>
      </w:r>
      <w:r>
        <w:rPr>
          <w:rFonts w:hint="eastAsia"/>
          <w:color w:val="000000" w:themeColor="text1"/>
          <w14:textFill>
            <w14:solidFill>
              <w14:schemeClr w14:val="tx1"/>
            </w14:solidFill>
          </w14:textFill>
        </w:rPr>
        <w:t>小时交易数据的存储能力</w:t>
      </w:r>
      <w:r>
        <w:rPr>
          <w:rFonts w:hint="eastAsia"/>
          <w:color w:val="000000" w:themeColor="text1"/>
          <w:lang w:val="en-US" w:eastAsia="zh-CN"/>
          <w14:textFill>
            <w14:solidFill>
              <w14:schemeClr w14:val="tx1"/>
            </w14:solidFill>
          </w14:textFill>
        </w:rPr>
        <w:t>；</w:t>
      </w:r>
    </w:p>
    <w:p w14:paraId="68D16B1A">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在云收费系统不具备收费条件的情况下，提供降级系统使用，以便提升突发情况下收费系统的稳定性。</w:t>
      </w:r>
    </w:p>
    <w:p w14:paraId="26DCF9E0">
      <w:pPr>
        <w:pStyle w:val="105"/>
        <w:spacing w:before="156" w:after="156"/>
        <w:rPr>
          <w:rFonts w:hAnsi="黑体" w:cs="黑体"/>
          <w:color w:val="000000" w:themeColor="text1"/>
          <w:szCs w:val="21"/>
          <w14:textFill>
            <w14:solidFill>
              <w14:schemeClr w14:val="tx1"/>
            </w14:solidFill>
          </w14:textFill>
        </w:rPr>
      </w:pPr>
      <w:bookmarkStart w:id="79" w:name="_Toc176447249"/>
      <w:r>
        <w:rPr>
          <w:rFonts w:hAnsi="黑体" w:cs="黑体"/>
          <w:color w:val="000000" w:themeColor="text1"/>
          <w:szCs w:val="21"/>
          <w14:textFill>
            <w14:solidFill>
              <w14:schemeClr w14:val="tx1"/>
            </w14:solidFill>
          </w14:textFill>
        </w:rPr>
        <w:t>移动收费</w:t>
      </w:r>
      <w:r>
        <w:rPr>
          <w:rFonts w:hint="eastAsia" w:hAnsi="黑体" w:cs="黑体"/>
          <w:color w:val="000000" w:themeColor="text1"/>
          <w:szCs w:val="21"/>
          <w14:textFill>
            <w14:solidFill>
              <w14:schemeClr w14:val="tx1"/>
            </w14:solidFill>
          </w14:textFill>
        </w:rPr>
        <w:t>程序</w:t>
      </w:r>
      <w:bookmarkEnd w:id="79"/>
    </w:p>
    <w:p w14:paraId="64CF808D">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支持移动终端等线上支付通行费；</w:t>
      </w:r>
    </w:p>
    <w:p w14:paraId="4CA32518">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提供车辆通行流水及交易信息查询；</w:t>
      </w:r>
    </w:p>
    <w:p w14:paraId="22C58B68">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提供通行费交易凭据。</w:t>
      </w:r>
    </w:p>
    <w:p w14:paraId="312BEA7E">
      <w:pPr>
        <w:pStyle w:val="105"/>
        <w:spacing w:before="156" w:after="156"/>
        <w:rPr>
          <w:color w:val="000000" w:themeColor="text1"/>
          <w14:textFill>
            <w14:solidFill>
              <w14:schemeClr w14:val="tx1"/>
            </w14:solidFill>
          </w14:textFill>
        </w:rPr>
      </w:pPr>
      <w:bookmarkStart w:id="80" w:name="_Toc176447250"/>
      <w:r>
        <w:rPr>
          <w:rFonts w:hint="eastAsia"/>
          <w:color w:val="000000" w:themeColor="text1"/>
          <w14:textFill>
            <w14:solidFill>
              <w14:schemeClr w14:val="tx1"/>
            </w14:solidFill>
          </w14:textFill>
        </w:rPr>
        <w:t>远程交互系统</w:t>
      </w:r>
      <w:bookmarkEnd w:id="80"/>
    </w:p>
    <w:p w14:paraId="19973ECE">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支持后台与车道远程视频和语音交互；</w:t>
      </w:r>
    </w:p>
    <w:p w14:paraId="447EF869">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支持后台远程人工修正车辆异常信息，完成特情车辆处置；</w:t>
      </w:r>
    </w:p>
    <w:p w14:paraId="1C1AF8DD">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机电设备故障、系统错误、求助和车道通行异常等能够自动接收报警，支持远程或手持终端控制车道设备及解决车辆通行问题。</w:t>
      </w:r>
    </w:p>
    <w:p w14:paraId="0BEC5D9A">
      <w:pPr>
        <w:pStyle w:val="105"/>
        <w:spacing w:before="156" w:after="156"/>
        <w:rPr>
          <w:color w:val="000000" w:themeColor="text1"/>
          <w14:textFill>
            <w14:solidFill>
              <w14:schemeClr w14:val="tx1"/>
            </w14:solidFill>
          </w14:textFill>
        </w:rPr>
      </w:pPr>
      <w:bookmarkStart w:id="81" w:name="_Toc176447251"/>
      <w:r>
        <w:rPr>
          <w:rFonts w:hint="eastAsia"/>
          <w:color w:val="000000" w:themeColor="text1"/>
          <w14:textFill>
            <w14:solidFill>
              <w14:schemeClr w14:val="tx1"/>
            </w14:solidFill>
          </w14:textFill>
        </w:rPr>
        <w:t>综合服务站</w:t>
      </w:r>
      <w:bookmarkEnd w:id="81"/>
    </w:p>
    <w:p w14:paraId="3BDAE6B5">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具备远程值守、后台操作、特情处置功能，配套有远程值守的监控、收费处理计算机等相关设施设备；</w:t>
      </w:r>
    </w:p>
    <w:p w14:paraId="6F3CB369">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能提供ETC业务办理及售后服务；</w:t>
      </w:r>
    </w:p>
    <w:p w14:paraId="479534EC">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能提供通行费发票打印业务；</w:t>
      </w:r>
    </w:p>
    <w:p w14:paraId="7DA38AB3">
      <w:pPr>
        <w:pStyle w:val="165"/>
        <w:rPr>
          <w:rFonts w:hint="default"/>
          <w:color w:val="000000" w:themeColor="text1"/>
          <w:lang w:val="en-US"/>
          <w14:textFill>
            <w14:solidFill>
              <w14:schemeClr w14:val="tx1"/>
            </w14:solidFill>
          </w14:textFill>
        </w:rPr>
      </w:pPr>
      <w:r>
        <w:rPr>
          <w:rFonts w:hint="eastAsia"/>
          <w:color w:val="000000" w:themeColor="text1"/>
          <w14:textFill>
            <w14:solidFill>
              <w14:schemeClr w14:val="tx1"/>
            </w14:solidFill>
          </w14:textFill>
        </w:rPr>
        <w:t>具备用户短暂停留、交通咨询</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提供紧急救援电话</w:t>
      </w:r>
      <w:r>
        <w:rPr>
          <w:rFonts w:hint="eastAsia"/>
          <w:color w:val="000000" w:themeColor="text1"/>
          <w14:textFill>
            <w14:solidFill>
              <w14:schemeClr w14:val="tx1"/>
            </w14:solidFill>
          </w14:textFill>
        </w:rPr>
        <w:t>等便民服务</w:t>
      </w:r>
      <w:r>
        <w:rPr>
          <w:rFonts w:hint="eastAsia"/>
          <w:color w:val="000000" w:themeColor="text1"/>
          <w:lang w:val="en-US" w:eastAsia="zh-CN"/>
          <w14:textFill>
            <w14:solidFill>
              <w14:schemeClr w14:val="tx1"/>
            </w14:solidFill>
          </w14:textFill>
        </w:rPr>
        <w:t>。</w:t>
      </w:r>
    </w:p>
    <w:p w14:paraId="2DE105C5">
      <w:pPr>
        <w:pStyle w:val="105"/>
        <w:spacing w:before="156" w:after="156"/>
        <w:rPr>
          <w:rFonts w:hint="default" w:hAnsi="Times New Roman" w:cs="Times New Roman"/>
          <w:color w:val="000000" w:themeColor="text1"/>
          <w:lang w:val="en-US" w:eastAsia="zh-CN"/>
          <w14:textFill>
            <w14:solidFill>
              <w14:schemeClr w14:val="tx1"/>
            </w14:solidFill>
          </w14:textFill>
        </w:rPr>
      </w:pPr>
      <w:r>
        <w:rPr>
          <w:rFonts w:hint="eastAsia" w:hAnsi="Times New Roman" w:cs="Times New Roman"/>
          <w:color w:val="000000" w:themeColor="text1"/>
          <w:lang w:val="en-US" w:eastAsia="zh-CN"/>
          <w14:textFill>
            <w14:solidFill>
              <w14:schemeClr w14:val="tx1"/>
            </w14:solidFill>
          </w14:textFill>
        </w:rPr>
        <w:t xml:space="preserve">网络三链路功能  </w:t>
      </w:r>
    </w:p>
    <w:p w14:paraId="232BA218">
      <w:pPr>
        <w:pStyle w:val="165"/>
        <w:numPr>
          <w:ilvl w:val="3"/>
          <w:numId w:val="0"/>
        </w:numPr>
        <w:ind w:leftChars="0" w:firstLine="420" w:firstLineChars="200"/>
        <w:rPr>
          <w:rFonts w:hint="eastAsia"/>
          <w:color w:val="000000" w:themeColor="text1"/>
          <w:lang w:val="en-US" w:eastAsia="zh-CN"/>
          <w14:textFill>
            <w14:solidFill>
              <w14:schemeClr w14:val="tx1"/>
            </w14:solidFill>
          </w14:textFill>
        </w:rPr>
      </w:pPr>
      <w:bookmarkStart w:id="82" w:name="_Toc176447281"/>
      <w:bookmarkStart w:id="83" w:name="_Toc176447252"/>
      <w:r>
        <w:rPr>
          <w:rFonts w:hint="eastAsia"/>
          <w:color w:val="000000" w:themeColor="text1"/>
          <w:lang w:val="en-US" w:eastAsia="zh-CN"/>
          <w14:textFill>
            <w14:solidFill>
              <w14:schemeClr w14:val="tx1"/>
            </w14:solidFill>
          </w14:textFill>
        </w:rPr>
        <w:t>在移动支付系统中增加交换机，将移动网线和移动SIM卡布置于移动支付设备机柜内，以提升特殊情况下收费数据传输的可靠性。</w:t>
      </w:r>
    </w:p>
    <w:p w14:paraId="68A060DE">
      <w:pPr>
        <w:pStyle w:val="104"/>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岗位设置与工作内容</w:t>
      </w:r>
      <w:bookmarkEnd w:id="82"/>
      <w:bookmarkEnd w:id="83"/>
    </w:p>
    <w:p w14:paraId="14BB5C04">
      <w:pPr>
        <w:pStyle w:val="105"/>
        <w:spacing w:before="156" w:after="156"/>
        <w:rPr>
          <w:color w:val="000000" w:themeColor="text1"/>
          <w14:textFill>
            <w14:solidFill>
              <w14:schemeClr w14:val="tx1"/>
            </w14:solidFill>
          </w14:textFill>
        </w:rPr>
      </w:pPr>
      <w:bookmarkStart w:id="84" w:name="_Toc176447253"/>
      <w:r>
        <w:rPr>
          <w:rFonts w:hint="eastAsia"/>
          <w:color w:val="000000" w:themeColor="text1"/>
          <w14:textFill>
            <w14:solidFill>
              <w14:schemeClr w14:val="tx1"/>
            </w14:solidFill>
          </w14:textFill>
        </w:rPr>
        <w:t>岗位设置</w:t>
      </w:r>
      <w:bookmarkEnd w:id="84"/>
    </w:p>
    <w:p w14:paraId="309C811C">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设置管理岗（含站长、副站长）、管理辅助岗（主要负责收费站一级的日常票卡、稽核、机电、综合事务管理辅助工作，可根据情况采取分路段、分片区、分所站等不同模式运作）、收费岗（含收费班长、收费员）。</w:t>
      </w:r>
    </w:p>
    <w:p w14:paraId="481C8FBD">
      <w:pPr>
        <w:pStyle w:val="105"/>
        <w:spacing w:before="156" w:after="156"/>
        <w:rPr>
          <w:color w:val="000000" w:themeColor="text1"/>
          <w14:textFill>
            <w14:solidFill>
              <w14:schemeClr w14:val="tx1"/>
            </w14:solidFill>
          </w14:textFill>
        </w:rPr>
      </w:pPr>
      <w:bookmarkStart w:id="85" w:name="_Toc176447254"/>
      <w:r>
        <w:rPr>
          <w:rFonts w:hint="eastAsia"/>
          <w:color w:val="000000" w:themeColor="text1"/>
          <w14:textFill>
            <w14:solidFill>
              <w14:schemeClr w14:val="tx1"/>
            </w14:solidFill>
          </w14:textFill>
        </w:rPr>
        <w:t>工作内容</w:t>
      </w:r>
      <w:bookmarkEnd w:id="85"/>
    </w:p>
    <w:p w14:paraId="3D2774FA">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管理岗工作内容</w:t>
      </w:r>
    </w:p>
    <w:p w14:paraId="08852646">
      <w:pPr>
        <w:pStyle w:val="174"/>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负责收费站的各项管理工作；</w:t>
      </w:r>
    </w:p>
    <w:p w14:paraId="41760BFB">
      <w:pPr>
        <w:pStyle w:val="174"/>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统筹本站收费、机电、票卡、稽核、后勤保障等相关工作；</w:t>
      </w:r>
    </w:p>
    <w:p w14:paraId="37EAEF08">
      <w:pPr>
        <w:pStyle w:val="174"/>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按照各岗位工作界面，监督考核各环节操作规程；</w:t>
      </w:r>
    </w:p>
    <w:p w14:paraId="15A9BE06">
      <w:pPr>
        <w:pStyle w:val="174"/>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对收费站机电运行情况和通行费收取、划转流程进行检查；</w:t>
      </w:r>
    </w:p>
    <w:p w14:paraId="76704854">
      <w:pPr>
        <w:pStyle w:val="174"/>
        <w:rPr>
          <w:color w:val="000000" w:themeColor="text1"/>
          <w14:textFill>
            <w14:solidFill>
              <w14:schemeClr w14:val="tx1"/>
            </w14:solidFill>
          </w14:textFill>
        </w:rPr>
      </w:pPr>
      <w:r>
        <w:rPr>
          <w:rFonts w:hint="eastAsia"/>
          <w:color w:val="000000" w:themeColor="text1"/>
          <w14:textFill>
            <w14:solidFill>
              <w14:schemeClr w14:val="tx1"/>
            </w14:solidFill>
          </w14:textFill>
        </w:rPr>
        <w:t>强化员工业务培训，提升视频和现场服务品质。</w:t>
      </w:r>
    </w:p>
    <w:p w14:paraId="5B110BDF">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管理辅助岗工作内容</w:t>
      </w:r>
    </w:p>
    <w:p w14:paraId="37E057D5">
      <w:pPr>
        <w:pStyle w:val="174"/>
        <w:numPr>
          <w:ilvl w:val="0"/>
          <w:numId w:val="32"/>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做好收费、机电、票卡、稽核与后勤等相关工作，辅助站级管理人员确保收费站正常运营；</w:t>
      </w:r>
    </w:p>
    <w:p w14:paraId="72D0CF36">
      <w:pPr>
        <w:pStyle w:val="174"/>
        <w:numPr>
          <w:ilvl w:val="0"/>
          <w:numId w:val="32"/>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按照分工承担工作任务，相互兼职，确保各项工作平稳运行；</w:t>
      </w:r>
    </w:p>
    <w:p w14:paraId="02260503">
      <w:pPr>
        <w:pStyle w:val="174"/>
        <w:numPr>
          <w:ilvl w:val="0"/>
          <w:numId w:val="32"/>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对收费站的票、卡、款、机电设备及其</w:t>
      </w:r>
      <w:r>
        <w:rPr>
          <w:rFonts w:hint="eastAsia"/>
          <w:color w:val="000000" w:themeColor="text1"/>
          <w:lang w:val="en-US" w:eastAsia="zh-CN"/>
          <w14:textFill>
            <w14:solidFill>
              <w14:schemeClr w14:val="tx1"/>
            </w14:solidFill>
          </w14:textFill>
        </w:rPr>
        <w:t>他</w:t>
      </w:r>
      <w:r>
        <w:rPr>
          <w:rFonts w:hint="eastAsia"/>
          <w:color w:val="000000" w:themeColor="text1"/>
          <w14:textFill>
            <w14:solidFill>
              <w14:schemeClr w14:val="tx1"/>
            </w14:solidFill>
          </w14:textFill>
        </w:rPr>
        <w:t>应急物资进行分类管理，监督检查收费员廉洁奉公、远程值守、现场处置、窗口服务、机电巡检等工作开展情况，杜绝违法乱纪事件发生；</w:t>
      </w:r>
    </w:p>
    <w:p w14:paraId="08EF868C">
      <w:pPr>
        <w:pStyle w:val="174"/>
        <w:numPr>
          <w:ilvl w:val="0"/>
          <w:numId w:val="32"/>
        </w:numPr>
        <w:rPr>
          <w:rFonts w:hint="eastAsia"/>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每天</w:t>
      </w:r>
      <w:r>
        <w:rPr>
          <w:rFonts w:hint="eastAsia"/>
          <w:color w:val="000000" w:themeColor="text1"/>
          <w14:textFill>
            <w14:solidFill>
              <w14:schemeClr w14:val="tx1"/>
            </w14:solidFill>
          </w14:textFill>
        </w:rPr>
        <w:t>定期清点、回收通行费和CPC卡，对自助车道CPC卡数量和使用情况进行检查核验，保证通行费款、CPC卡账物相符，CPC卡使用规则符合上级规定；</w:t>
      </w:r>
    </w:p>
    <w:p w14:paraId="26329532">
      <w:pPr>
        <w:pStyle w:val="174"/>
        <w:numPr>
          <w:ilvl w:val="0"/>
          <w:numId w:val="32"/>
        </w:numPr>
        <w:rPr>
          <w:color w:val="000000" w:themeColor="text1"/>
          <w14:textFill>
            <w14:solidFill>
              <w14:schemeClr w14:val="tx1"/>
            </w14:solidFill>
          </w14:textFill>
        </w:rPr>
      </w:pPr>
      <w:r>
        <w:rPr>
          <w:rFonts w:hint="eastAsia"/>
          <w:color w:val="000000" w:themeColor="text1"/>
          <w14:textFill>
            <w14:solidFill>
              <w14:schemeClr w14:val="tx1"/>
            </w14:solidFill>
          </w14:textFill>
        </w:rPr>
        <w:t>做好本站优免车辆及人工处理特情车辆的复审，抽查实时稽核工作质量。</w:t>
      </w:r>
    </w:p>
    <w:p w14:paraId="488CE5D9">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收费岗工作内容</w:t>
      </w:r>
    </w:p>
    <w:p w14:paraId="3DE059B1">
      <w:pPr>
        <w:pStyle w:val="174"/>
        <w:numPr>
          <w:ilvl w:val="0"/>
          <w:numId w:val="33"/>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收费班长主要负责本班次收费车道的日常管理；</w:t>
      </w:r>
    </w:p>
    <w:p w14:paraId="04D6B3B1">
      <w:pPr>
        <w:pStyle w:val="174"/>
        <w:numPr>
          <w:ilvl w:val="0"/>
          <w:numId w:val="33"/>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收费班长或收费员在上级的监督和授权下，对本班次车道通行流水开展实时稽核；</w:t>
      </w:r>
    </w:p>
    <w:p w14:paraId="20F56D59">
      <w:pPr>
        <w:pStyle w:val="174"/>
        <w:numPr>
          <w:ilvl w:val="0"/>
          <w:numId w:val="33"/>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做好远程值守和现场值勤工作，主动发现或接收异常信息，通过远程交互系统或现场方式为用户提供优质高效的服务；</w:t>
      </w:r>
    </w:p>
    <w:p w14:paraId="29F27530">
      <w:pPr>
        <w:pStyle w:val="174"/>
        <w:numPr>
          <w:ilvl w:val="0"/>
          <w:numId w:val="33"/>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按规范做好机电设备的巡查巡检工作，发现问题立即处理和报告；</w:t>
      </w:r>
    </w:p>
    <w:p w14:paraId="4A120D72">
      <w:pPr>
        <w:pStyle w:val="174"/>
        <w:numPr>
          <w:ilvl w:val="0"/>
          <w:numId w:val="33"/>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做好收费区域的监控管理，防止因设备故障或人为因素造成通行费漏收；</w:t>
      </w:r>
    </w:p>
    <w:p w14:paraId="77CD1162">
      <w:pPr>
        <w:pStyle w:val="174"/>
        <w:numPr>
          <w:ilvl w:val="0"/>
          <w:numId w:val="33"/>
        </w:numPr>
        <w:rPr>
          <w:color w:val="000000" w:themeColor="text1"/>
          <w14:textFill>
            <w14:solidFill>
              <w14:schemeClr w14:val="tx1"/>
            </w14:solidFill>
          </w14:textFill>
        </w:rPr>
      </w:pPr>
      <w:r>
        <w:rPr>
          <w:rFonts w:hint="eastAsia"/>
          <w:color w:val="000000" w:themeColor="text1"/>
          <w14:textFill>
            <w14:solidFill>
              <w14:schemeClr w14:val="tx1"/>
            </w14:solidFill>
          </w14:textFill>
        </w:rPr>
        <w:t>做好收费区域安全管控，预防和消除安全隐患。</w:t>
      </w:r>
    </w:p>
    <w:p w14:paraId="49919D5F">
      <w:pPr>
        <w:pStyle w:val="104"/>
        <w:spacing w:before="312" w:after="312"/>
        <w:rPr>
          <w:color w:val="000000" w:themeColor="text1"/>
          <w14:textFill>
            <w14:solidFill>
              <w14:schemeClr w14:val="tx1"/>
            </w14:solidFill>
          </w14:textFill>
        </w:rPr>
      </w:pPr>
      <w:bookmarkStart w:id="86" w:name="_Toc176447282"/>
      <w:bookmarkStart w:id="87" w:name="_Toc176447255"/>
      <w:r>
        <w:rPr>
          <w:rFonts w:hint="eastAsia"/>
          <w:color w:val="000000" w:themeColor="text1"/>
          <w14:textFill>
            <w14:solidFill>
              <w14:schemeClr w14:val="tx1"/>
            </w14:solidFill>
          </w14:textFill>
        </w:rPr>
        <w:t>管理要求与业务操作</w:t>
      </w:r>
      <w:bookmarkEnd w:id="86"/>
      <w:bookmarkEnd w:id="87"/>
    </w:p>
    <w:p w14:paraId="4D6F0C91">
      <w:pPr>
        <w:pStyle w:val="105"/>
        <w:spacing w:before="156" w:after="156"/>
        <w:rPr>
          <w:color w:val="000000" w:themeColor="text1"/>
          <w14:textFill>
            <w14:solidFill>
              <w14:schemeClr w14:val="tx1"/>
            </w14:solidFill>
          </w14:textFill>
        </w:rPr>
      </w:pPr>
      <w:bookmarkStart w:id="88" w:name="_Toc176447256"/>
      <w:r>
        <w:rPr>
          <w:rFonts w:hint="eastAsia"/>
          <w:color w:val="000000" w:themeColor="text1"/>
          <w14:textFill>
            <w14:solidFill>
              <w14:schemeClr w14:val="tx1"/>
            </w14:solidFill>
          </w14:textFill>
        </w:rPr>
        <w:t>机电运维</w:t>
      </w:r>
      <w:bookmarkEnd w:id="88"/>
    </w:p>
    <w:p w14:paraId="79882023">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收费员每3小时巡查一次后台与车道设备运行情况；</w:t>
      </w:r>
    </w:p>
    <w:p w14:paraId="222DCCFD">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负责机电的管理辅助人员班前班后对所有机电设备进行巡检，向收费员了解当天机电运行情况；</w:t>
      </w:r>
    </w:p>
    <w:p w14:paraId="5A197D93">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收费站应配备有发电机、</w:t>
      </w:r>
      <w:r>
        <w:rPr>
          <w:rFonts w:hint="eastAsia"/>
          <w:color w:val="000000" w:themeColor="text1"/>
          <w:lang w:val="en-US" w:eastAsia="zh-CN"/>
          <w14:textFill>
            <w14:solidFill>
              <w14:schemeClr w14:val="tx1"/>
            </w14:solidFill>
          </w14:textFill>
        </w:rPr>
        <w:t>便携式发电机、</w:t>
      </w:r>
      <w:r>
        <w:rPr>
          <w:rFonts w:hint="eastAsia"/>
          <w:color w:val="000000" w:themeColor="text1"/>
          <w14:textFill>
            <w14:solidFill>
              <w14:schemeClr w14:val="tx1"/>
            </w14:solidFill>
          </w14:textFill>
        </w:rPr>
        <w:t>手持终端</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便携式收费机</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、UPS供电系统，并按上级要求配备充足的备品备件；</w:t>
      </w:r>
    </w:p>
    <w:p w14:paraId="2B6E0A0B">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车辆诱导设施接入收费系统，具备引导信息输出控制及运行状态检测等功能，正确显示车辆车牌号、交易信息和通行车道指引等信息；</w:t>
      </w:r>
    </w:p>
    <w:p w14:paraId="669FE3D1">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车辆诱导设施及匝道可变情报板、标识标牌避免被其他物体遮挡，表面完整清晰；</w:t>
      </w:r>
    </w:p>
    <w:p w14:paraId="1B8FF9D9">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酷暑、严寒或冰雪等恶劣天气时，对收费系统主机、光栅等关键重要设备进行恒温、清除冰雪等处理，维持设备良好的运行环境</w:t>
      </w:r>
      <w:r>
        <w:rPr>
          <w:rFonts w:hint="eastAsia"/>
          <w:color w:val="000000" w:themeColor="text1"/>
          <w:lang w:val="en-US" w:eastAsia="zh-CN"/>
          <w14:textFill>
            <w14:solidFill>
              <w14:schemeClr w14:val="tx1"/>
            </w14:solidFill>
          </w14:textFill>
        </w:rPr>
        <w:t>；</w:t>
      </w:r>
    </w:p>
    <w:p w14:paraId="19B6A58C">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自助发卡和自助交费设备平均无故障时间＞20000小时；平均故障恢复时间&lt;0.5小时；车牌、车型识别准确率、图片抓拍有效率≥99%；一次性取卡成功率和一次性交费成功率≥99.5%；实测车辆一次性通过率≥98%；</w:t>
      </w:r>
    </w:p>
    <w:p w14:paraId="005D4661">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匝道预交易系统ETC交易成功率不低于99%，CPC卡交易成功率不低于95%</w:t>
      </w:r>
      <w:r>
        <w:rPr>
          <w:rFonts w:hint="eastAsia"/>
          <w:color w:val="000000" w:themeColor="text1"/>
          <w:lang w:eastAsia="zh-CN"/>
          <w14:textFill>
            <w14:solidFill>
              <w14:schemeClr w14:val="tx1"/>
            </w14:solidFill>
          </w14:textFill>
        </w:rPr>
        <w:t>。</w:t>
      </w:r>
    </w:p>
    <w:p w14:paraId="12EC972B">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出现机电设备故障，负责机电的管理辅助人员需按照上级维修时限要求开展维修和报告</w:t>
      </w:r>
      <w:r>
        <w:rPr>
          <w:rFonts w:hint="eastAsia"/>
          <w:color w:val="000000" w:themeColor="text1"/>
          <w:lang w:eastAsia="zh-CN"/>
          <w14:textFill>
            <w14:solidFill>
              <w14:schemeClr w14:val="tx1"/>
            </w14:solidFill>
          </w14:textFill>
        </w:rPr>
        <w:t>（一级故障：1小时到达现场，4小时解决问题；二级故障：4小时到达现场，24小时解决问题；三级故障：12小时到达现场，72小时解决问题；四级故障：24</w:t>
      </w:r>
      <w:r>
        <w:rPr>
          <w:rFonts w:hint="eastAsia" w:ascii="宋体" w:hAnsi="Times New Roman" w:eastAsia="宋体" w:cs="Times New Roman"/>
          <w:color w:val="000000" w:themeColor="text1"/>
          <w:kern w:val="0"/>
          <w:sz w:val="21"/>
          <w:szCs w:val="20"/>
          <w:lang w:val="en-US" w:eastAsia="zh-CN" w:bidi="ar-SA"/>
          <w14:textFill>
            <w14:solidFill>
              <w14:schemeClr w14:val="tx1"/>
            </w14:solidFill>
          </w14:textFill>
        </w:rPr>
        <w:t>小时</w:t>
      </w:r>
      <w:r>
        <w:rPr>
          <w:rFonts w:hint="eastAsia"/>
          <w:color w:val="000000" w:themeColor="text1"/>
          <w:lang w:eastAsia="zh-CN"/>
          <w14:textFill>
            <w14:solidFill>
              <w14:schemeClr w14:val="tx1"/>
            </w14:solidFill>
          </w14:textFill>
        </w:rPr>
        <w:t>到达现场，一周内解决问题）</w:t>
      </w:r>
      <w:r>
        <w:rPr>
          <w:rFonts w:hint="eastAsia"/>
          <w:color w:val="000000" w:themeColor="text1"/>
          <w14:textFill>
            <w14:solidFill>
              <w14:schemeClr w14:val="tx1"/>
            </w14:solidFill>
          </w14:textFill>
        </w:rPr>
        <w:t>，对于影响各省（区、市）收费站和ETC门架系统运行的故障（非人为因素或自然不可抗力），应在1小时内响应，并在4小时内修复</w:t>
      </w:r>
      <w:r>
        <w:rPr>
          <w:rFonts w:hint="eastAsia"/>
          <w:color w:val="000000" w:themeColor="text1"/>
          <w:lang w:val="en-US" w:eastAsia="zh-CN"/>
          <w14:textFill>
            <w14:solidFill>
              <w14:schemeClr w14:val="tx1"/>
            </w14:solidFill>
          </w14:textFill>
        </w:rPr>
        <w:t>。具体故障维修等级详见表1：</w:t>
      </w:r>
    </w:p>
    <w:p w14:paraId="04BDEB70">
      <w:pPr>
        <w:pStyle w:val="105"/>
        <w:numPr>
          <w:ilvl w:val="2"/>
          <w:numId w:val="0"/>
        </w:numPr>
        <w:bidi w:val="0"/>
        <w:ind w:leftChars="0"/>
        <w:jc w:val="center"/>
        <w:rPr>
          <w:rFonts w:hint="default" w:ascii="宋体" w:hAnsi="Times New Roman" w:eastAsia="宋体" w:cs="Times New Roman"/>
          <w:b/>
          <w:bCs/>
          <w:color w:val="000000" w:themeColor="text1"/>
          <w:sz w:val="21"/>
          <w:lang w:val="en-US" w:eastAsia="zh-CN" w:bidi="ar-SA"/>
          <w14:textFill>
            <w14:solidFill>
              <w14:schemeClr w14:val="tx1"/>
            </w14:solidFill>
          </w14:textFill>
        </w:rPr>
      </w:pPr>
      <w:r>
        <w:rPr>
          <w:rFonts w:hint="eastAsia" w:ascii="宋体" w:hAnsi="Times New Roman" w:eastAsia="宋体" w:cs="Times New Roman"/>
          <w:b/>
          <w:bCs/>
          <w:color w:val="000000" w:themeColor="text1"/>
          <w:sz w:val="21"/>
          <w:lang w:val="en-US" w:eastAsia="zh-CN" w:bidi="ar-SA"/>
          <w14:textFill>
            <w14:solidFill>
              <w14:schemeClr w14:val="tx1"/>
            </w14:solidFill>
          </w14:textFill>
        </w:rPr>
        <w:t>表1：故障维修等级及维修标准</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080"/>
        <w:gridCol w:w="1040"/>
        <w:gridCol w:w="4260"/>
      </w:tblGrid>
      <w:tr w14:paraId="70ECB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3440132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b/>
                <w:bCs/>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b/>
                <w:bCs/>
                <w:color w:val="000000" w:themeColor="text1"/>
                <w:kern w:val="0"/>
                <w:sz w:val="21"/>
                <w:szCs w:val="20"/>
                <w:lang w:val="en-US" w:eastAsia="zh-CN" w:bidi="ar-SA"/>
                <w14:textFill>
                  <w14:solidFill>
                    <w14:schemeClr w14:val="tx1"/>
                  </w14:solidFill>
                </w14:textFill>
              </w:rPr>
              <w:t>序号</w:t>
            </w:r>
          </w:p>
        </w:tc>
        <w:tc>
          <w:tcPr>
            <w:tcW w:w="2080" w:type="dxa"/>
            <w:vAlign w:val="center"/>
          </w:tcPr>
          <w:p w14:paraId="0673219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b/>
                <w:bCs/>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b/>
                <w:bCs/>
                <w:color w:val="000000" w:themeColor="text1"/>
                <w:kern w:val="0"/>
                <w:sz w:val="21"/>
                <w:szCs w:val="20"/>
                <w:lang w:val="en-US" w:eastAsia="zh-CN" w:bidi="ar-SA"/>
                <w14:textFill>
                  <w14:solidFill>
                    <w14:schemeClr w14:val="tx1"/>
                  </w14:solidFill>
                </w14:textFill>
              </w:rPr>
              <w:t>项目内容</w:t>
            </w:r>
          </w:p>
        </w:tc>
        <w:tc>
          <w:tcPr>
            <w:tcW w:w="1040" w:type="dxa"/>
            <w:vAlign w:val="center"/>
          </w:tcPr>
          <w:p w14:paraId="2EC3DCD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b/>
                <w:bCs/>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b/>
                <w:bCs/>
                <w:color w:val="000000" w:themeColor="text1"/>
                <w:kern w:val="0"/>
                <w:sz w:val="21"/>
                <w:szCs w:val="20"/>
                <w:lang w:val="en-US" w:eastAsia="zh-CN" w:bidi="ar-SA"/>
                <w14:textFill>
                  <w14:solidFill>
                    <w14:schemeClr w14:val="tx1"/>
                  </w14:solidFill>
                </w14:textFill>
              </w:rPr>
              <w:t>维修</w:t>
            </w:r>
          </w:p>
          <w:p w14:paraId="3E091E4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b/>
                <w:bCs/>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b/>
                <w:bCs/>
                <w:color w:val="000000" w:themeColor="text1"/>
                <w:kern w:val="0"/>
                <w:sz w:val="21"/>
                <w:szCs w:val="20"/>
                <w:lang w:val="en-US" w:eastAsia="zh-CN" w:bidi="ar-SA"/>
                <w14:textFill>
                  <w14:solidFill>
                    <w14:schemeClr w14:val="tx1"/>
                  </w14:solidFill>
                </w14:textFill>
              </w:rPr>
              <w:t>级别</w:t>
            </w:r>
          </w:p>
        </w:tc>
        <w:tc>
          <w:tcPr>
            <w:tcW w:w="4260" w:type="dxa"/>
            <w:vAlign w:val="center"/>
          </w:tcPr>
          <w:p w14:paraId="5C65781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b/>
                <w:bCs/>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b/>
                <w:bCs/>
                <w:color w:val="000000" w:themeColor="text1"/>
                <w:kern w:val="0"/>
                <w:sz w:val="21"/>
                <w:szCs w:val="20"/>
                <w:lang w:val="en-US" w:eastAsia="zh-CN" w:bidi="ar-SA"/>
                <w14:textFill>
                  <w14:solidFill>
                    <w14:schemeClr w14:val="tx1"/>
                  </w14:solidFill>
                </w14:textFill>
              </w:rPr>
              <w:t>维修标准</w:t>
            </w:r>
          </w:p>
        </w:tc>
      </w:tr>
      <w:tr w14:paraId="006CB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460" w:type="dxa"/>
            <w:gridSpan w:val="4"/>
            <w:vAlign w:val="center"/>
          </w:tcPr>
          <w:p w14:paraId="7FE4C4D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b/>
                <w:bCs/>
                <w:color w:val="000000" w:themeColor="text1"/>
                <w:kern w:val="0"/>
                <w:sz w:val="21"/>
                <w:szCs w:val="20"/>
                <w:lang w:val="en-US" w:eastAsia="zh-CN" w:bidi="ar-SA"/>
                <w14:textFill>
                  <w14:solidFill>
                    <w14:schemeClr w14:val="tx1"/>
                  </w14:solidFill>
                </w14:textFill>
              </w:rPr>
              <w:t>通信系统　</w:t>
            </w:r>
          </w:p>
        </w:tc>
      </w:tr>
      <w:tr w14:paraId="1CEF6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7199715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2080" w:type="dxa"/>
            <w:vAlign w:val="center"/>
          </w:tcPr>
          <w:p w14:paraId="474CC55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光纤数字传输设备</w:t>
            </w:r>
          </w:p>
        </w:tc>
        <w:tc>
          <w:tcPr>
            <w:tcW w:w="1040" w:type="dxa"/>
            <w:vAlign w:val="center"/>
          </w:tcPr>
          <w:p w14:paraId="52F405B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46A87DB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传输设备各类业务运行正常、硬件设备无警告</w:t>
            </w:r>
          </w:p>
        </w:tc>
      </w:tr>
      <w:tr w14:paraId="2C8D1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7009B79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w:t>
            </w:r>
          </w:p>
        </w:tc>
        <w:tc>
          <w:tcPr>
            <w:tcW w:w="2080" w:type="dxa"/>
            <w:vAlign w:val="center"/>
          </w:tcPr>
          <w:p w14:paraId="28FADE9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堡垒机</w:t>
            </w:r>
          </w:p>
        </w:tc>
        <w:tc>
          <w:tcPr>
            <w:tcW w:w="1040" w:type="dxa"/>
            <w:vAlign w:val="center"/>
          </w:tcPr>
          <w:p w14:paraId="7C097DD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518A1F2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功能正常，配置正常，指示灯正常无警告</w:t>
            </w:r>
          </w:p>
        </w:tc>
      </w:tr>
      <w:tr w14:paraId="3BDB8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6B90F5F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2080" w:type="dxa"/>
            <w:vAlign w:val="center"/>
          </w:tcPr>
          <w:p w14:paraId="3FF5FF0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通信电源</w:t>
            </w:r>
          </w:p>
        </w:tc>
        <w:tc>
          <w:tcPr>
            <w:tcW w:w="1040" w:type="dxa"/>
            <w:vAlign w:val="center"/>
          </w:tcPr>
          <w:p w14:paraId="399C1D0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2B83761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供电正常，无警告</w:t>
            </w:r>
          </w:p>
        </w:tc>
      </w:tr>
      <w:tr w14:paraId="71302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05D21E0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4</w:t>
            </w:r>
          </w:p>
        </w:tc>
        <w:tc>
          <w:tcPr>
            <w:tcW w:w="2080" w:type="dxa"/>
            <w:vAlign w:val="center"/>
          </w:tcPr>
          <w:p w14:paraId="76070CC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收费交换机</w:t>
            </w:r>
          </w:p>
        </w:tc>
        <w:tc>
          <w:tcPr>
            <w:tcW w:w="1040" w:type="dxa"/>
            <w:vAlign w:val="center"/>
          </w:tcPr>
          <w:p w14:paraId="5237D14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7D3E62A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功能正常，指示灯无警告</w:t>
            </w:r>
          </w:p>
        </w:tc>
      </w:tr>
      <w:tr w14:paraId="69E5E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6D070BA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5</w:t>
            </w:r>
          </w:p>
        </w:tc>
        <w:tc>
          <w:tcPr>
            <w:tcW w:w="2080" w:type="dxa"/>
            <w:vAlign w:val="center"/>
          </w:tcPr>
          <w:p w14:paraId="67CB346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收费光端机</w:t>
            </w:r>
          </w:p>
        </w:tc>
        <w:tc>
          <w:tcPr>
            <w:tcW w:w="1040" w:type="dxa"/>
            <w:vAlign w:val="center"/>
          </w:tcPr>
          <w:p w14:paraId="243E7D1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6843368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通讯正常，指示灯无警告</w:t>
            </w:r>
          </w:p>
        </w:tc>
      </w:tr>
      <w:tr w14:paraId="39E23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2FD7B79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6</w:t>
            </w:r>
          </w:p>
        </w:tc>
        <w:tc>
          <w:tcPr>
            <w:tcW w:w="2080" w:type="dxa"/>
            <w:vAlign w:val="center"/>
          </w:tcPr>
          <w:p w14:paraId="10B2785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IPRAN设备</w:t>
            </w:r>
          </w:p>
        </w:tc>
        <w:tc>
          <w:tcPr>
            <w:tcW w:w="1040" w:type="dxa"/>
            <w:vAlign w:val="center"/>
          </w:tcPr>
          <w:p w14:paraId="21A1EB3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1B4EEC6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通讯正常、各通道业务正常、无警告</w:t>
            </w:r>
          </w:p>
        </w:tc>
      </w:tr>
      <w:tr w14:paraId="5618C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6547511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7</w:t>
            </w:r>
          </w:p>
        </w:tc>
        <w:tc>
          <w:tcPr>
            <w:tcW w:w="2080" w:type="dxa"/>
            <w:vAlign w:val="center"/>
          </w:tcPr>
          <w:p w14:paraId="1C7841E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安全网关</w:t>
            </w:r>
          </w:p>
        </w:tc>
        <w:tc>
          <w:tcPr>
            <w:tcW w:w="1040" w:type="dxa"/>
            <w:vAlign w:val="center"/>
          </w:tcPr>
          <w:p w14:paraId="12D33C8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4C4686E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功能正常，配置正常，指示灯正常无警告</w:t>
            </w:r>
          </w:p>
        </w:tc>
      </w:tr>
      <w:tr w14:paraId="3F53B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14646F5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8</w:t>
            </w:r>
          </w:p>
        </w:tc>
        <w:tc>
          <w:tcPr>
            <w:tcW w:w="2080" w:type="dxa"/>
            <w:vAlign w:val="center"/>
          </w:tcPr>
          <w:p w14:paraId="2ED237C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360网神</w:t>
            </w:r>
          </w:p>
        </w:tc>
        <w:tc>
          <w:tcPr>
            <w:tcW w:w="1040" w:type="dxa"/>
            <w:vAlign w:val="center"/>
          </w:tcPr>
          <w:p w14:paraId="66115A7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321FF23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功能正常，配置正常，指示灯正常无警告</w:t>
            </w:r>
          </w:p>
        </w:tc>
      </w:tr>
      <w:tr w14:paraId="1AF55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2F24D79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9</w:t>
            </w:r>
          </w:p>
        </w:tc>
        <w:tc>
          <w:tcPr>
            <w:tcW w:w="2080" w:type="dxa"/>
            <w:vAlign w:val="center"/>
          </w:tcPr>
          <w:p w14:paraId="63FEA04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收费电信链路</w:t>
            </w:r>
          </w:p>
        </w:tc>
        <w:tc>
          <w:tcPr>
            <w:tcW w:w="1040" w:type="dxa"/>
            <w:vAlign w:val="center"/>
          </w:tcPr>
          <w:p w14:paraId="35B9DE9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76BBBB4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通讯正常，指示灯无警告</w:t>
            </w:r>
          </w:p>
        </w:tc>
      </w:tr>
      <w:tr w14:paraId="75A11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5C4858B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10</w:t>
            </w:r>
          </w:p>
        </w:tc>
        <w:tc>
          <w:tcPr>
            <w:tcW w:w="2080" w:type="dxa"/>
            <w:vAlign w:val="center"/>
          </w:tcPr>
          <w:p w14:paraId="43E8C50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光缆</w:t>
            </w:r>
          </w:p>
        </w:tc>
        <w:tc>
          <w:tcPr>
            <w:tcW w:w="1040" w:type="dxa"/>
            <w:vAlign w:val="center"/>
          </w:tcPr>
          <w:p w14:paraId="46CC701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696955F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光纤无破损，可正常通信。</w:t>
            </w:r>
          </w:p>
        </w:tc>
      </w:tr>
      <w:tr w14:paraId="62D2F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13F817F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11</w:t>
            </w:r>
          </w:p>
        </w:tc>
        <w:tc>
          <w:tcPr>
            <w:tcW w:w="2080" w:type="dxa"/>
            <w:vAlign w:val="center"/>
          </w:tcPr>
          <w:p w14:paraId="3F817BC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监控上云网关</w:t>
            </w:r>
          </w:p>
        </w:tc>
        <w:tc>
          <w:tcPr>
            <w:tcW w:w="1040" w:type="dxa"/>
            <w:vAlign w:val="center"/>
          </w:tcPr>
          <w:p w14:paraId="3289D1E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w:t>
            </w:r>
          </w:p>
        </w:tc>
        <w:tc>
          <w:tcPr>
            <w:tcW w:w="4260" w:type="dxa"/>
            <w:vAlign w:val="center"/>
          </w:tcPr>
          <w:p w14:paraId="2076448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通讯正常，指示灯无警告</w:t>
            </w:r>
          </w:p>
        </w:tc>
      </w:tr>
      <w:tr w14:paraId="06DC2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2F08929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12</w:t>
            </w:r>
          </w:p>
        </w:tc>
        <w:tc>
          <w:tcPr>
            <w:tcW w:w="2080" w:type="dxa"/>
            <w:vAlign w:val="center"/>
          </w:tcPr>
          <w:p w14:paraId="4921A43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网管服务器</w:t>
            </w:r>
          </w:p>
        </w:tc>
        <w:tc>
          <w:tcPr>
            <w:tcW w:w="1040" w:type="dxa"/>
            <w:vAlign w:val="center"/>
          </w:tcPr>
          <w:p w14:paraId="0ACA9B8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w:t>
            </w:r>
          </w:p>
        </w:tc>
        <w:tc>
          <w:tcPr>
            <w:tcW w:w="4260" w:type="dxa"/>
            <w:vAlign w:val="center"/>
          </w:tcPr>
          <w:p w14:paraId="704D344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服务器无警告、业务软件均可开启</w:t>
            </w:r>
          </w:p>
        </w:tc>
      </w:tr>
      <w:tr w14:paraId="54BE4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67854FB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13</w:t>
            </w:r>
          </w:p>
        </w:tc>
        <w:tc>
          <w:tcPr>
            <w:tcW w:w="2080" w:type="dxa"/>
            <w:vAlign w:val="center"/>
          </w:tcPr>
          <w:p w14:paraId="1494EBE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监控光端机</w:t>
            </w:r>
          </w:p>
        </w:tc>
        <w:tc>
          <w:tcPr>
            <w:tcW w:w="1040" w:type="dxa"/>
            <w:vAlign w:val="center"/>
          </w:tcPr>
          <w:p w14:paraId="18C958F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w:t>
            </w:r>
          </w:p>
        </w:tc>
        <w:tc>
          <w:tcPr>
            <w:tcW w:w="4260" w:type="dxa"/>
            <w:vAlign w:val="center"/>
          </w:tcPr>
          <w:p w14:paraId="415B810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通讯正常，指示灯无警告</w:t>
            </w:r>
          </w:p>
        </w:tc>
      </w:tr>
      <w:tr w14:paraId="19C51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529D06E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14</w:t>
            </w:r>
          </w:p>
        </w:tc>
        <w:tc>
          <w:tcPr>
            <w:tcW w:w="2080" w:type="dxa"/>
            <w:vAlign w:val="center"/>
          </w:tcPr>
          <w:p w14:paraId="78842A6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监控交换机</w:t>
            </w:r>
          </w:p>
        </w:tc>
        <w:tc>
          <w:tcPr>
            <w:tcW w:w="1040" w:type="dxa"/>
            <w:vAlign w:val="center"/>
          </w:tcPr>
          <w:p w14:paraId="5590F2B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w:t>
            </w:r>
          </w:p>
        </w:tc>
        <w:tc>
          <w:tcPr>
            <w:tcW w:w="4260" w:type="dxa"/>
            <w:vAlign w:val="center"/>
          </w:tcPr>
          <w:p w14:paraId="7BAA4CA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通讯正常，指示灯无警告</w:t>
            </w:r>
          </w:p>
        </w:tc>
      </w:tr>
      <w:tr w14:paraId="0D603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7B1DEAB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15</w:t>
            </w:r>
          </w:p>
        </w:tc>
        <w:tc>
          <w:tcPr>
            <w:tcW w:w="2080" w:type="dxa"/>
            <w:vAlign w:val="center"/>
          </w:tcPr>
          <w:p w14:paraId="3394F48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监控云联网电信链路</w:t>
            </w:r>
          </w:p>
        </w:tc>
        <w:tc>
          <w:tcPr>
            <w:tcW w:w="1040" w:type="dxa"/>
            <w:vAlign w:val="center"/>
          </w:tcPr>
          <w:p w14:paraId="056E032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w:t>
            </w:r>
          </w:p>
        </w:tc>
        <w:tc>
          <w:tcPr>
            <w:tcW w:w="4260" w:type="dxa"/>
            <w:vAlign w:val="center"/>
          </w:tcPr>
          <w:p w14:paraId="3B8F2A0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通讯正常，指示灯无警告</w:t>
            </w:r>
          </w:p>
        </w:tc>
      </w:tr>
      <w:tr w14:paraId="14296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37ECFEE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16</w:t>
            </w:r>
          </w:p>
        </w:tc>
        <w:tc>
          <w:tcPr>
            <w:tcW w:w="2080" w:type="dxa"/>
            <w:vAlign w:val="center"/>
          </w:tcPr>
          <w:p w14:paraId="5B10CE7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ODF/DDF 配线架</w:t>
            </w:r>
          </w:p>
        </w:tc>
        <w:tc>
          <w:tcPr>
            <w:tcW w:w="1040" w:type="dxa"/>
            <w:vAlign w:val="center"/>
          </w:tcPr>
          <w:p w14:paraId="6CA05F8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w:t>
            </w:r>
          </w:p>
        </w:tc>
        <w:tc>
          <w:tcPr>
            <w:tcW w:w="4260" w:type="dxa"/>
            <w:vAlign w:val="center"/>
          </w:tcPr>
          <w:p w14:paraId="6A40B25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光纤连接正常，无衰减</w:t>
            </w:r>
          </w:p>
        </w:tc>
      </w:tr>
      <w:tr w14:paraId="72BF9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5B77A5E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17</w:t>
            </w:r>
          </w:p>
        </w:tc>
        <w:tc>
          <w:tcPr>
            <w:tcW w:w="2080" w:type="dxa"/>
            <w:vAlign w:val="center"/>
          </w:tcPr>
          <w:p w14:paraId="540723A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程控交换机</w:t>
            </w:r>
          </w:p>
        </w:tc>
        <w:tc>
          <w:tcPr>
            <w:tcW w:w="1040" w:type="dxa"/>
            <w:vAlign w:val="center"/>
          </w:tcPr>
          <w:p w14:paraId="0FC33C2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4260" w:type="dxa"/>
            <w:vAlign w:val="center"/>
          </w:tcPr>
          <w:p w14:paraId="6CD280C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电话业务正常，话质好</w:t>
            </w:r>
          </w:p>
        </w:tc>
      </w:tr>
      <w:tr w14:paraId="60649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71ED190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18</w:t>
            </w:r>
          </w:p>
        </w:tc>
        <w:tc>
          <w:tcPr>
            <w:tcW w:w="2080" w:type="dxa"/>
            <w:vAlign w:val="center"/>
          </w:tcPr>
          <w:p w14:paraId="3554D7C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视频会议系统</w:t>
            </w:r>
          </w:p>
        </w:tc>
        <w:tc>
          <w:tcPr>
            <w:tcW w:w="1040" w:type="dxa"/>
            <w:vAlign w:val="center"/>
          </w:tcPr>
          <w:p w14:paraId="5590A60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4260" w:type="dxa"/>
            <w:vAlign w:val="center"/>
          </w:tcPr>
          <w:p w14:paraId="1919346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网络通畅、功能正常且开机无警告</w:t>
            </w:r>
          </w:p>
        </w:tc>
      </w:tr>
      <w:tr w14:paraId="21D94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70DB1C3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19</w:t>
            </w:r>
          </w:p>
        </w:tc>
        <w:tc>
          <w:tcPr>
            <w:tcW w:w="2080" w:type="dxa"/>
            <w:vAlign w:val="center"/>
          </w:tcPr>
          <w:p w14:paraId="56FE24D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网管工作站</w:t>
            </w:r>
          </w:p>
        </w:tc>
        <w:tc>
          <w:tcPr>
            <w:tcW w:w="1040" w:type="dxa"/>
            <w:vAlign w:val="center"/>
          </w:tcPr>
          <w:p w14:paraId="143534C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4260" w:type="dxa"/>
            <w:vAlign w:val="center"/>
          </w:tcPr>
          <w:p w14:paraId="083202C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工作站无警告、网管软件均可开启正常使用</w:t>
            </w:r>
          </w:p>
        </w:tc>
      </w:tr>
      <w:tr w14:paraId="484A0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53E8258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20</w:t>
            </w:r>
          </w:p>
        </w:tc>
        <w:tc>
          <w:tcPr>
            <w:tcW w:w="2080" w:type="dxa"/>
            <w:vAlign w:val="center"/>
          </w:tcPr>
          <w:p w14:paraId="3F91117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办公网络</w:t>
            </w:r>
          </w:p>
        </w:tc>
        <w:tc>
          <w:tcPr>
            <w:tcW w:w="1040" w:type="dxa"/>
            <w:vAlign w:val="center"/>
          </w:tcPr>
          <w:p w14:paraId="7A2A116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4260" w:type="dxa"/>
            <w:vAlign w:val="center"/>
          </w:tcPr>
          <w:p w14:paraId="276D8C5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网络畅通、无掉包延迟</w:t>
            </w:r>
          </w:p>
        </w:tc>
      </w:tr>
      <w:tr w14:paraId="6CE6B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0F738FD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21</w:t>
            </w:r>
          </w:p>
        </w:tc>
        <w:tc>
          <w:tcPr>
            <w:tcW w:w="2080" w:type="dxa"/>
            <w:vAlign w:val="center"/>
          </w:tcPr>
          <w:p w14:paraId="017925E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电话机</w:t>
            </w:r>
          </w:p>
        </w:tc>
        <w:tc>
          <w:tcPr>
            <w:tcW w:w="1040" w:type="dxa"/>
            <w:vAlign w:val="center"/>
          </w:tcPr>
          <w:p w14:paraId="7956537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4260" w:type="dxa"/>
            <w:vAlign w:val="center"/>
          </w:tcPr>
          <w:p w14:paraId="397AEF6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功能正常，话质好</w:t>
            </w:r>
          </w:p>
        </w:tc>
      </w:tr>
      <w:tr w14:paraId="73C51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460" w:type="dxa"/>
            <w:gridSpan w:val="4"/>
            <w:vAlign w:val="center"/>
          </w:tcPr>
          <w:p w14:paraId="3DF80D1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b/>
                <w:bCs/>
                <w:color w:val="000000" w:themeColor="text1"/>
                <w:kern w:val="0"/>
                <w:sz w:val="21"/>
                <w:szCs w:val="20"/>
                <w:lang w:val="en-US" w:eastAsia="zh-CN" w:bidi="ar-SA"/>
                <w14:textFill>
                  <w14:solidFill>
                    <w14:schemeClr w14:val="tx1"/>
                  </w14:solidFill>
                </w14:textFill>
              </w:rPr>
              <w:t>监控系统</w:t>
            </w:r>
          </w:p>
        </w:tc>
      </w:tr>
      <w:tr w14:paraId="660A3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633109F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2080" w:type="dxa"/>
            <w:vAlign w:val="center"/>
          </w:tcPr>
          <w:p w14:paraId="6B18F12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监控光端机</w:t>
            </w:r>
          </w:p>
        </w:tc>
        <w:tc>
          <w:tcPr>
            <w:tcW w:w="1040" w:type="dxa"/>
            <w:vAlign w:val="center"/>
          </w:tcPr>
          <w:p w14:paraId="63777B2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w:t>
            </w:r>
          </w:p>
        </w:tc>
        <w:tc>
          <w:tcPr>
            <w:tcW w:w="4260" w:type="dxa"/>
            <w:vAlign w:val="center"/>
          </w:tcPr>
          <w:p w14:paraId="03DC316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通信正常，指示灯正常无警告</w:t>
            </w:r>
          </w:p>
        </w:tc>
      </w:tr>
      <w:tr w14:paraId="616E0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49EE170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w:t>
            </w:r>
          </w:p>
        </w:tc>
        <w:tc>
          <w:tcPr>
            <w:tcW w:w="2080" w:type="dxa"/>
            <w:vAlign w:val="center"/>
          </w:tcPr>
          <w:p w14:paraId="1D84E9C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监控服务器</w:t>
            </w:r>
          </w:p>
        </w:tc>
        <w:tc>
          <w:tcPr>
            <w:tcW w:w="1040" w:type="dxa"/>
            <w:vAlign w:val="center"/>
          </w:tcPr>
          <w:p w14:paraId="63B188D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w:t>
            </w:r>
          </w:p>
        </w:tc>
        <w:tc>
          <w:tcPr>
            <w:tcW w:w="4260" w:type="dxa"/>
            <w:vAlign w:val="center"/>
          </w:tcPr>
          <w:p w14:paraId="0365B4E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服务器运行正常、散热风扇工作正常、主机箱无异响</w:t>
            </w:r>
          </w:p>
        </w:tc>
      </w:tr>
      <w:tr w14:paraId="4DBD9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64C9964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2080" w:type="dxa"/>
            <w:vAlign w:val="center"/>
          </w:tcPr>
          <w:p w14:paraId="27C570E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磁盘阵列</w:t>
            </w:r>
          </w:p>
        </w:tc>
        <w:tc>
          <w:tcPr>
            <w:tcW w:w="1040" w:type="dxa"/>
            <w:vAlign w:val="center"/>
          </w:tcPr>
          <w:p w14:paraId="18B28FA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w:t>
            </w:r>
          </w:p>
        </w:tc>
        <w:tc>
          <w:tcPr>
            <w:tcW w:w="4260" w:type="dxa"/>
            <w:vAlign w:val="center"/>
          </w:tcPr>
          <w:p w14:paraId="4C118D2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运行指示灯正常闪烁且无异响，存储正常</w:t>
            </w:r>
          </w:p>
        </w:tc>
      </w:tr>
      <w:tr w14:paraId="24CC3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607363C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4</w:t>
            </w:r>
          </w:p>
        </w:tc>
        <w:tc>
          <w:tcPr>
            <w:tcW w:w="2080" w:type="dxa"/>
            <w:vAlign w:val="center"/>
          </w:tcPr>
          <w:p w14:paraId="6CE368F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硬盘录像机</w:t>
            </w:r>
          </w:p>
        </w:tc>
        <w:tc>
          <w:tcPr>
            <w:tcW w:w="1040" w:type="dxa"/>
            <w:vAlign w:val="center"/>
          </w:tcPr>
          <w:p w14:paraId="7205F50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w:t>
            </w:r>
          </w:p>
        </w:tc>
        <w:tc>
          <w:tcPr>
            <w:tcW w:w="4260" w:type="dxa"/>
            <w:vAlign w:val="center"/>
          </w:tcPr>
          <w:p w14:paraId="1748A04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运行指示灯正常闪烁且无异响，存储正常</w:t>
            </w:r>
          </w:p>
        </w:tc>
      </w:tr>
      <w:tr w14:paraId="70DA5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4DE5706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5</w:t>
            </w:r>
          </w:p>
        </w:tc>
        <w:tc>
          <w:tcPr>
            <w:tcW w:w="2080" w:type="dxa"/>
            <w:vAlign w:val="center"/>
          </w:tcPr>
          <w:p w14:paraId="0F6C538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监控软件平台</w:t>
            </w:r>
          </w:p>
        </w:tc>
        <w:tc>
          <w:tcPr>
            <w:tcW w:w="1040" w:type="dxa"/>
            <w:vAlign w:val="center"/>
          </w:tcPr>
          <w:p w14:paraId="2EF7FC1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w:t>
            </w:r>
          </w:p>
        </w:tc>
        <w:tc>
          <w:tcPr>
            <w:tcW w:w="4260" w:type="dxa"/>
            <w:vAlign w:val="center"/>
          </w:tcPr>
          <w:p w14:paraId="73B396F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功能正常，配置正常</w:t>
            </w:r>
          </w:p>
        </w:tc>
      </w:tr>
      <w:tr w14:paraId="3C435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080" w:type="dxa"/>
            <w:vAlign w:val="center"/>
          </w:tcPr>
          <w:p w14:paraId="547811A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6</w:t>
            </w:r>
          </w:p>
        </w:tc>
        <w:tc>
          <w:tcPr>
            <w:tcW w:w="2080" w:type="dxa"/>
            <w:vAlign w:val="center"/>
          </w:tcPr>
          <w:p w14:paraId="725CCB5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云台</w:t>
            </w:r>
          </w:p>
        </w:tc>
        <w:tc>
          <w:tcPr>
            <w:tcW w:w="1040" w:type="dxa"/>
            <w:vAlign w:val="center"/>
          </w:tcPr>
          <w:p w14:paraId="249C471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4260" w:type="dxa"/>
            <w:vAlign w:val="center"/>
          </w:tcPr>
          <w:p w14:paraId="1BCC19A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镜头、云台可控，本地上电云台能自检</w:t>
            </w:r>
          </w:p>
        </w:tc>
      </w:tr>
      <w:tr w14:paraId="1EEED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1080" w:type="dxa"/>
            <w:vAlign w:val="center"/>
          </w:tcPr>
          <w:p w14:paraId="573B565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7</w:t>
            </w:r>
          </w:p>
        </w:tc>
        <w:tc>
          <w:tcPr>
            <w:tcW w:w="2080" w:type="dxa"/>
            <w:vAlign w:val="center"/>
          </w:tcPr>
          <w:p w14:paraId="0E52757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太阳能供电系统</w:t>
            </w: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br w:type="textWrapping"/>
            </w: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（道路监控）</w:t>
            </w:r>
          </w:p>
        </w:tc>
        <w:tc>
          <w:tcPr>
            <w:tcW w:w="1040" w:type="dxa"/>
            <w:vAlign w:val="center"/>
          </w:tcPr>
          <w:p w14:paraId="49B4A7E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4260" w:type="dxa"/>
            <w:vAlign w:val="center"/>
          </w:tcPr>
          <w:p w14:paraId="7F0CAEB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本地测量系统电压正常、有充电电流、充放电控制器欠压和过充保护功能正常</w:t>
            </w:r>
          </w:p>
        </w:tc>
      </w:tr>
      <w:tr w14:paraId="43208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080" w:type="dxa"/>
            <w:vAlign w:val="center"/>
          </w:tcPr>
          <w:p w14:paraId="5C672AA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8</w:t>
            </w:r>
          </w:p>
        </w:tc>
        <w:tc>
          <w:tcPr>
            <w:tcW w:w="2080" w:type="dxa"/>
            <w:vAlign w:val="center"/>
          </w:tcPr>
          <w:p w14:paraId="315366A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龙门架可变情报板</w:t>
            </w:r>
          </w:p>
        </w:tc>
        <w:tc>
          <w:tcPr>
            <w:tcW w:w="1040" w:type="dxa"/>
            <w:vAlign w:val="center"/>
          </w:tcPr>
          <w:p w14:paraId="3873C89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4260" w:type="dxa"/>
            <w:vAlign w:val="center"/>
          </w:tcPr>
          <w:p w14:paraId="4623D4E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显示屏体无花屏、缺字、坏点，通信正常</w:t>
            </w:r>
          </w:p>
        </w:tc>
      </w:tr>
      <w:tr w14:paraId="38851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67511A2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9</w:t>
            </w:r>
          </w:p>
        </w:tc>
        <w:tc>
          <w:tcPr>
            <w:tcW w:w="2080" w:type="dxa"/>
            <w:vAlign w:val="center"/>
          </w:tcPr>
          <w:p w14:paraId="7CB9707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F架可变情报板</w:t>
            </w:r>
          </w:p>
        </w:tc>
        <w:tc>
          <w:tcPr>
            <w:tcW w:w="1040" w:type="dxa"/>
            <w:vAlign w:val="center"/>
          </w:tcPr>
          <w:p w14:paraId="6FDB21E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4260" w:type="dxa"/>
            <w:vAlign w:val="center"/>
          </w:tcPr>
          <w:p w14:paraId="0ED2704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显示屏体无花屏、缺字、坏点，通信正常</w:t>
            </w:r>
          </w:p>
        </w:tc>
      </w:tr>
      <w:tr w14:paraId="783B7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62BE264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10</w:t>
            </w:r>
          </w:p>
        </w:tc>
        <w:tc>
          <w:tcPr>
            <w:tcW w:w="2080" w:type="dxa"/>
            <w:vAlign w:val="center"/>
          </w:tcPr>
          <w:p w14:paraId="5870924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T型屏限速标志</w:t>
            </w:r>
          </w:p>
        </w:tc>
        <w:tc>
          <w:tcPr>
            <w:tcW w:w="1040" w:type="dxa"/>
            <w:vAlign w:val="center"/>
          </w:tcPr>
          <w:p w14:paraId="188E458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4260" w:type="dxa"/>
            <w:vAlign w:val="center"/>
          </w:tcPr>
          <w:p w14:paraId="138FC8B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显示屏体无花屏、缺字、坏点，通信正常</w:t>
            </w:r>
          </w:p>
        </w:tc>
      </w:tr>
      <w:tr w14:paraId="01E82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7A8820B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11</w:t>
            </w:r>
          </w:p>
        </w:tc>
        <w:tc>
          <w:tcPr>
            <w:tcW w:w="2080" w:type="dxa"/>
            <w:vAlign w:val="center"/>
          </w:tcPr>
          <w:p w14:paraId="769243B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及时提示屏</w:t>
            </w:r>
          </w:p>
        </w:tc>
        <w:tc>
          <w:tcPr>
            <w:tcW w:w="1040" w:type="dxa"/>
            <w:vAlign w:val="center"/>
          </w:tcPr>
          <w:p w14:paraId="3C1A8D2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4260" w:type="dxa"/>
            <w:vAlign w:val="center"/>
          </w:tcPr>
          <w:p w14:paraId="5C796D5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能正常检测当地天气情况，设备（GPRS）通信正常；示屏体无花屏、缺字、坏点</w:t>
            </w:r>
          </w:p>
        </w:tc>
      </w:tr>
      <w:tr w14:paraId="33718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49BBE64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12</w:t>
            </w:r>
          </w:p>
        </w:tc>
        <w:tc>
          <w:tcPr>
            <w:tcW w:w="2080" w:type="dxa"/>
            <w:vAlign w:val="center"/>
          </w:tcPr>
          <w:p w14:paraId="7B50DFA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大厅LED显示屏</w:t>
            </w:r>
          </w:p>
        </w:tc>
        <w:tc>
          <w:tcPr>
            <w:tcW w:w="1040" w:type="dxa"/>
            <w:vAlign w:val="center"/>
          </w:tcPr>
          <w:p w14:paraId="1B0D834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4260" w:type="dxa"/>
            <w:vAlign w:val="center"/>
          </w:tcPr>
          <w:p w14:paraId="7497F4C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LED显示屏体无花屏、缺字、坏点不影响显示，通信正常</w:t>
            </w:r>
          </w:p>
        </w:tc>
      </w:tr>
      <w:tr w14:paraId="3F523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49A2DBD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13</w:t>
            </w:r>
          </w:p>
        </w:tc>
        <w:tc>
          <w:tcPr>
            <w:tcW w:w="2080" w:type="dxa"/>
            <w:vAlign w:val="center"/>
          </w:tcPr>
          <w:p w14:paraId="70A0747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物联网控制箱</w:t>
            </w:r>
          </w:p>
        </w:tc>
        <w:tc>
          <w:tcPr>
            <w:tcW w:w="1040" w:type="dxa"/>
            <w:vAlign w:val="center"/>
          </w:tcPr>
          <w:p w14:paraId="4A4974A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4260" w:type="dxa"/>
            <w:vAlign w:val="center"/>
          </w:tcPr>
          <w:p w14:paraId="71F322D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功能正常，通讯正常，外观正常</w:t>
            </w:r>
          </w:p>
        </w:tc>
      </w:tr>
      <w:tr w14:paraId="5325D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03051D8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14</w:t>
            </w:r>
          </w:p>
        </w:tc>
        <w:tc>
          <w:tcPr>
            <w:tcW w:w="2080" w:type="dxa"/>
            <w:vAlign w:val="center"/>
          </w:tcPr>
          <w:p w14:paraId="2A9D0EC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电视墙</w:t>
            </w:r>
          </w:p>
        </w:tc>
        <w:tc>
          <w:tcPr>
            <w:tcW w:w="1040" w:type="dxa"/>
            <w:vAlign w:val="center"/>
          </w:tcPr>
          <w:p w14:paraId="63C45DD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4260" w:type="dxa"/>
            <w:vAlign w:val="center"/>
          </w:tcPr>
          <w:p w14:paraId="637715E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显示面平整、图像清晰稳定（能正常切换图像）</w:t>
            </w:r>
          </w:p>
        </w:tc>
      </w:tr>
      <w:tr w14:paraId="7CB35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26A7C25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15</w:t>
            </w:r>
          </w:p>
        </w:tc>
        <w:tc>
          <w:tcPr>
            <w:tcW w:w="2080" w:type="dxa"/>
            <w:vAlign w:val="center"/>
          </w:tcPr>
          <w:p w14:paraId="7FC42BD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摄像机</w:t>
            </w:r>
          </w:p>
        </w:tc>
        <w:tc>
          <w:tcPr>
            <w:tcW w:w="1040" w:type="dxa"/>
            <w:vAlign w:val="center"/>
          </w:tcPr>
          <w:p w14:paraId="6A281EE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4260" w:type="dxa"/>
            <w:vAlign w:val="center"/>
          </w:tcPr>
          <w:p w14:paraId="4C85B81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图像清晰稳定、位置正确、无污损</w:t>
            </w:r>
          </w:p>
        </w:tc>
      </w:tr>
      <w:tr w14:paraId="1BB77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5D31119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16</w:t>
            </w:r>
          </w:p>
        </w:tc>
        <w:tc>
          <w:tcPr>
            <w:tcW w:w="2080" w:type="dxa"/>
            <w:vAlign w:val="center"/>
          </w:tcPr>
          <w:p w14:paraId="6DA2F3E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监控工作站</w:t>
            </w:r>
          </w:p>
        </w:tc>
        <w:tc>
          <w:tcPr>
            <w:tcW w:w="1040" w:type="dxa"/>
            <w:vAlign w:val="center"/>
          </w:tcPr>
          <w:p w14:paraId="052963B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4260" w:type="dxa"/>
            <w:vAlign w:val="center"/>
          </w:tcPr>
          <w:p w14:paraId="2B4E901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计算机运行正常、散热风扇工作正常，监控软件运行正常，主机箱无异响</w:t>
            </w:r>
          </w:p>
        </w:tc>
      </w:tr>
      <w:tr w14:paraId="1D8C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2E984E6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17</w:t>
            </w:r>
          </w:p>
        </w:tc>
        <w:tc>
          <w:tcPr>
            <w:tcW w:w="2080" w:type="dxa"/>
            <w:vAlign w:val="center"/>
          </w:tcPr>
          <w:p w14:paraId="1758D04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动环监控主机</w:t>
            </w:r>
          </w:p>
        </w:tc>
        <w:tc>
          <w:tcPr>
            <w:tcW w:w="1040" w:type="dxa"/>
            <w:vAlign w:val="center"/>
          </w:tcPr>
          <w:p w14:paraId="5BE8A17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4260" w:type="dxa"/>
            <w:vAlign w:val="center"/>
          </w:tcPr>
          <w:p w14:paraId="1015A96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功能正常</w:t>
            </w:r>
          </w:p>
        </w:tc>
      </w:tr>
      <w:tr w14:paraId="168E3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432E578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18</w:t>
            </w:r>
          </w:p>
        </w:tc>
        <w:tc>
          <w:tcPr>
            <w:tcW w:w="2080" w:type="dxa"/>
            <w:vAlign w:val="center"/>
          </w:tcPr>
          <w:p w14:paraId="7F37EE7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烟感/温感探测器</w:t>
            </w:r>
          </w:p>
        </w:tc>
        <w:tc>
          <w:tcPr>
            <w:tcW w:w="1040" w:type="dxa"/>
            <w:vAlign w:val="center"/>
          </w:tcPr>
          <w:p w14:paraId="05AA70E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4260" w:type="dxa"/>
            <w:vAlign w:val="center"/>
          </w:tcPr>
          <w:p w14:paraId="7E8FB8D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功能正常</w:t>
            </w:r>
          </w:p>
        </w:tc>
      </w:tr>
      <w:tr w14:paraId="26E68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23B61ED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19</w:t>
            </w:r>
          </w:p>
        </w:tc>
        <w:tc>
          <w:tcPr>
            <w:tcW w:w="2080" w:type="dxa"/>
            <w:vAlign w:val="center"/>
          </w:tcPr>
          <w:p w14:paraId="4A036D3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门禁</w:t>
            </w:r>
          </w:p>
        </w:tc>
        <w:tc>
          <w:tcPr>
            <w:tcW w:w="1040" w:type="dxa"/>
            <w:vAlign w:val="center"/>
          </w:tcPr>
          <w:p w14:paraId="04A46BD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4260" w:type="dxa"/>
            <w:vAlign w:val="center"/>
          </w:tcPr>
          <w:p w14:paraId="529F6DD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功能正常</w:t>
            </w:r>
          </w:p>
        </w:tc>
      </w:tr>
      <w:tr w14:paraId="02213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00E59E6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20</w:t>
            </w:r>
          </w:p>
        </w:tc>
        <w:tc>
          <w:tcPr>
            <w:tcW w:w="2080" w:type="dxa"/>
            <w:vAlign w:val="center"/>
          </w:tcPr>
          <w:p w14:paraId="17051D6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视频矩阵</w:t>
            </w:r>
          </w:p>
        </w:tc>
        <w:tc>
          <w:tcPr>
            <w:tcW w:w="1040" w:type="dxa"/>
            <w:vAlign w:val="center"/>
          </w:tcPr>
          <w:p w14:paraId="7F789EF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4</w:t>
            </w:r>
          </w:p>
        </w:tc>
        <w:tc>
          <w:tcPr>
            <w:tcW w:w="4260" w:type="dxa"/>
            <w:vAlign w:val="center"/>
          </w:tcPr>
          <w:p w14:paraId="185F38D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能正常切换任意一路图像到监视器和大屏</w:t>
            </w:r>
          </w:p>
        </w:tc>
      </w:tr>
      <w:tr w14:paraId="243DD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7216A41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21</w:t>
            </w:r>
          </w:p>
        </w:tc>
        <w:tc>
          <w:tcPr>
            <w:tcW w:w="2080" w:type="dxa"/>
            <w:vAlign w:val="center"/>
          </w:tcPr>
          <w:p w14:paraId="6E922DC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监视器</w:t>
            </w:r>
          </w:p>
        </w:tc>
        <w:tc>
          <w:tcPr>
            <w:tcW w:w="1040" w:type="dxa"/>
            <w:vAlign w:val="center"/>
          </w:tcPr>
          <w:p w14:paraId="1C8AE12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4</w:t>
            </w:r>
          </w:p>
        </w:tc>
        <w:tc>
          <w:tcPr>
            <w:tcW w:w="4260" w:type="dxa"/>
            <w:vAlign w:val="center"/>
          </w:tcPr>
          <w:p w14:paraId="72E0711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视频图像显示清晰稳定</w:t>
            </w:r>
          </w:p>
        </w:tc>
      </w:tr>
      <w:tr w14:paraId="3E7FC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460" w:type="dxa"/>
            <w:gridSpan w:val="4"/>
            <w:vAlign w:val="center"/>
          </w:tcPr>
          <w:p w14:paraId="68FFBD1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b/>
                <w:bCs/>
                <w:color w:val="000000" w:themeColor="text1"/>
                <w:kern w:val="0"/>
                <w:sz w:val="21"/>
                <w:szCs w:val="20"/>
                <w:lang w:val="en-US" w:eastAsia="zh-CN" w:bidi="ar-SA"/>
                <w14:textFill>
                  <w14:solidFill>
                    <w14:schemeClr w14:val="tx1"/>
                  </w14:solidFill>
                </w14:textFill>
              </w:rPr>
              <w:t>收费系统</w:t>
            </w:r>
          </w:p>
        </w:tc>
      </w:tr>
      <w:tr w14:paraId="0DAA6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1124CC7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2080" w:type="dxa"/>
            <w:vAlign w:val="center"/>
          </w:tcPr>
          <w:p w14:paraId="55B19CB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工控机</w:t>
            </w:r>
          </w:p>
        </w:tc>
        <w:tc>
          <w:tcPr>
            <w:tcW w:w="1040" w:type="dxa"/>
            <w:vAlign w:val="center"/>
          </w:tcPr>
          <w:p w14:paraId="5D505A9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168C5CD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系统正常、软件功能正常，端口正常</w:t>
            </w:r>
          </w:p>
        </w:tc>
      </w:tr>
      <w:tr w14:paraId="3727A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0AC46BB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w:t>
            </w:r>
          </w:p>
        </w:tc>
        <w:tc>
          <w:tcPr>
            <w:tcW w:w="2080" w:type="dxa"/>
            <w:vAlign w:val="center"/>
          </w:tcPr>
          <w:p w14:paraId="65AAE7C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车牌识别</w:t>
            </w:r>
          </w:p>
        </w:tc>
        <w:tc>
          <w:tcPr>
            <w:tcW w:w="1040" w:type="dxa"/>
            <w:vAlign w:val="center"/>
          </w:tcPr>
          <w:p w14:paraId="14B1D3F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0B1AA5A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可抓拍车牌，白天识别率95%以上，夜间90%以上</w:t>
            </w:r>
          </w:p>
        </w:tc>
      </w:tr>
      <w:tr w14:paraId="00B4C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49DF83B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2080" w:type="dxa"/>
            <w:vAlign w:val="center"/>
          </w:tcPr>
          <w:p w14:paraId="605FD3F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费额显示器</w:t>
            </w:r>
          </w:p>
        </w:tc>
        <w:tc>
          <w:tcPr>
            <w:tcW w:w="1040" w:type="dxa"/>
            <w:vAlign w:val="center"/>
          </w:tcPr>
          <w:p w14:paraId="5CF3153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530C1D9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通行卡处理后，通行费正确显示且无缺字</w:t>
            </w:r>
          </w:p>
        </w:tc>
      </w:tr>
      <w:tr w14:paraId="7A0CC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0163C57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4</w:t>
            </w:r>
          </w:p>
        </w:tc>
        <w:tc>
          <w:tcPr>
            <w:tcW w:w="2080" w:type="dxa"/>
            <w:vAlign w:val="center"/>
          </w:tcPr>
          <w:p w14:paraId="1CDC3E1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自动栏杆机</w:t>
            </w:r>
          </w:p>
        </w:tc>
        <w:tc>
          <w:tcPr>
            <w:tcW w:w="1040" w:type="dxa"/>
            <w:vAlign w:val="center"/>
          </w:tcPr>
          <w:p w14:paraId="2D4601D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68601D7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运行期间无较大晃动，无较大声响，抬杆、落杆动作与命令一致</w:t>
            </w:r>
          </w:p>
        </w:tc>
      </w:tr>
      <w:tr w14:paraId="3EA63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619E1E0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5</w:t>
            </w:r>
          </w:p>
        </w:tc>
        <w:tc>
          <w:tcPr>
            <w:tcW w:w="2080" w:type="dxa"/>
            <w:vAlign w:val="center"/>
          </w:tcPr>
          <w:p w14:paraId="4A1D0FB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地感线圈</w:t>
            </w:r>
          </w:p>
        </w:tc>
        <w:tc>
          <w:tcPr>
            <w:tcW w:w="1040" w:type="dxa"/>
            <w:vAlign w:val="center"/>
          </w:tcPr>
          <w:p w14:paraId="75989AA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5F0D644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线圈绝缘电阻＞500MΩ（DC500V时），线圈周边浇筑胶体无明显开裂及破损痕迹</w:t>
            </w:r>
          </w:p>
        </w:tc>
      </w:tr>
      <w:tr w14:paraId="1CD8F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2CAC148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6</w:t>
            </w:r>
          </w:p>
        </w:tc>
        <w:tc>
          <w:tcPr>
            <w:tcW w:w="2080" w:type="dxa"/>
            <w:vAlign w:val="center"/>
          </w:tcPr>
          <w:p w14:paraId="3F841E7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ETC天线及控制器</w:t>
            </w:r>
          </w:p>
        </w:tc>
        <w:tc>
          <w:tcPr>
            <w:tcW w:w="1040" w:type="dxa"/>
            <w:vAlign w:val="center"/>
          </w:tcPr>
          <w:p w14:paraId="7AE8DEB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4ECDFA9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天线角度合适，能准确识别来车身份卡，与上位机通信正常。</w:t>
            </w:r>
          </w:p>
        </w:tc>
      </w:tr>
      <w:tr w14:paraId="172C6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76F0933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7</w:t>
            </w:r>
          </w:p>
        </w:tc>
        <w:tc>
          <w:tcPr>
            <w:tcW w:w="2080" w:type="dxa"/>
            <w:vAlign w:val="center"/>
          </w:tcPr>
          <w:p w14:paraId="37FDFD3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动态/静态汽车衡</w:t>
            </w:r>
          </w:p>
        </w:tc>
        <w:tc>
          <w:tcPr>
            <w:tcW w:w="1040" w:type="dxa"/>
            <w:vAlign w:val="center"/>
          </w:tcPr>
          <w:p w14:paraId="3FC3DA0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15E7881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轮胎识别传感器正常，其周边及秤台周边无异物，称重准确、设备通讯正常</w:t>
            </w:r>
          </w:p>
        </w:tc>
      </w:tr>
      <w:tr w14:paraId="24F8E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0FF12B2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8</w:t>
            </w:r>
          </w:p>
        </w:tc>
        <w:tc>
          <w:tcPr>
            <w:tcW w:w="2080" w:type="dxa"/>
            <w:vAlign w:val="center"/>
          </w:tcPr>
          <w:p w14:paraId="10A9EE6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IC卡读写器</w:t>
            </w:r>
          </w:p>
        </w:tc>
        <w:tc>
          <w:tcPr>
            <w:tcW w:w="1040" w:type="dxa"/>
            <w:vAlign w:val="center"/>
          </w:tcPr>
          <w:p w14:paraId="3F5FFA0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1996958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在规定距离和角度正常读写</w:t>
            </w:r>
          </w:p>
        </w:tc>
      </w:tr>
      <w:tr w14:paraId="033BB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497CF4A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9</w:t>
            </w:r>
          </w:p>
        </w:tc>
        <w:tc>
          <w:tcPr>
            <w:tcW w:w="2080" w:type="dxa"/>
            <w:vAlign w:val="center"/>
          </w:tcPr>
          <w:p w14:paraId="1C93C84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票据打印机</w:t>
            </w:r>
          </w:p>
        </w:tc>
        <w:tc>
          <w:tcPr>
            <w:tcW w:w="1040" w:type="dxa"/>
            <w:vAlign w:val="center"/>
          </w:tcPr>
          <w:p w14:paraId="50E367E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07B5416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无乱码，字迹清晰</w:t>
            </w:r>
          </w:p>
        </w:tc>
      </w:tr>
      <w:tr w14:paraId="13980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3893074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10</w:t>
            </w:r>
          </w:p>
        </w:tc>
        <w:tc>
          <w:tcPr>
            <w:tcW w:w="2080" w:type="dxa"/>
            <w:vAlign w:val="center"/>
          </w:tcPr>
          <w:p w14:paraId="3010EDD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收费专用键盘</w:t>
            </w:r>
          </w:p>
        </w:tc>
        <w:tc>
          <w:tcPr>
            <w:tcW w:w="1040" w:type="dxa"/>
            <w:vAlign w:val="center"/>
          </w:tcPr>
          <w:p w14:paraId="34242E7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0FFFB2A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标记清楚、牢固、操作灵活，响应准确、可靠</w:t>
            </w:r>
          </w:p>
        </w:tc>
      </w:tr>
      <w:tr w14:paraId="740A2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4264FDE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11</w:t>
            </w:r>
          </w:p>
        </w:tc>
        <w:tc>
          <w:tcPr>
            <w:tcW w:w="2080" w:type="dxa"/>
            <w:vAlign w:val="center"/>
          </w:tcPr>
          <w:p w14:paraId="26CBE0F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物联网车道控制器</w:t>
            </w:r>
          </w:p>
        </w:tc>
        <w:tc>
          <w:tcPr>
            <w:tcW w:w="1040" w:type="dxa"/>
            <w:vAlign w:val="center"/>
          </w:tcPr>
          <w:p w14:paraId="1656F29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188B677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控制器电源无异响，其内部及各板卡上，无明显异常痕迹</w:t>
            </w:r>
          </w:p>
        </w:tc>
      </w:tr>
      <w:tr w14:paraId="1FAEF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0DE4BFE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12</w:t>
            </w:r>
          </w:p>
        </w:tc>
        <w:tc>
          <w:tcPr>
            <w:tcW w:w="2080" w:type="dxa"/>
            <w:vAlign w:val="center"/>
          </w:tcPr>
          <w:p w14:paraId="132796C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车辆检测器</w:t>
            </w:r>
          </w:p>
        </w:tc>
        <w:tc>
          <w:tcPr>
            <w:tcW w:w="1040" w:type="dxa"/>
            <w:vAlign w:val="center"/>
          </w:tcPr>
          <w:p w14:paraId="08C6BE2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1DAE03D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功能正常，指示灯正常</w:t>
            </w:r>
          </w:p>
        </w:tc>
      </w:tr>
      <w:tr w14:paraId="68DBD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44E80F0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13</w:t>
            </w:r>
          </w:p>
        </w:tc>
        <w:tc>
          <w:tcPr>
            <w:tcW w:w="2080" w:type="dxa"/>
            <w:vAlign w:val="center"/>
          </w:tcPr>
          <w:p w14:paraId="0756AA2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收费服务器</w:t>
            </w:r>
          </w:p>
        </w:tc>
        <w:tc>
          <w:tcPr>
            <w:tcW w:w="1040" w:type="dxa"/>
            <w:vAlign w:val="center"/>
          </w:tcPr>
          <w:p w14:paraId="351E420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45BCCB6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系统正常、业务功能正常、网络正常</w:t>
            </w:r>
          </w:p>
        </w:tc>
      </w:tr>
      <w:tr w14:paraId="37683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0A4B8C4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14</w:t>
            </w:r>
          </w:p>
        </w:tc>
        <w:tc>
          <w:tcPr>
            <w:tcW w:w="2080" w:type="dxa"/>
            <w:vAlign w:val="center"/>
          </w:tcPr>
          <w:p w14:paraId="037DEED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主备链路</w:t>
            </w:r>
          </w:p>
        </w:tc>
        <w:tc>
          <w:tcPr>
            <w:tcW w:w="1040" w:type="dxa"/>
            <w:vAlign w:val="center"/>
          </w:tcPr>
          <w:p w14:paraId="0371268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32C0944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业务传输正常，无警告</w:t>
            </w:r>
          </w:p>
        </w:tc>
      </w:tr>
      <w:tr w14:paraId="29A42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5E3EA3A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15</w:t>
            </w:r>
          </w:p>
        </w:tc>
        <w:tc>
          <w:tcPr>
            <w:tcW w:w="2080" w:type="dxa"/>
            <w:vAlign w:val="center"/>
          </w:tcPr>
          <w:p w14:paraId="1049E8C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授权服务器</w:t>
            </w:r>
          </w:p>
        </w:tc>
        <w:tc>
          <w:tcPr>
            <w:tcW w:w="1040" w:type="dxa"/>
            <w:vAlign w:val="center"/>
          </w:tcPr>
          <w:p w14:paraId="2FF7647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534DD29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网络正常、指示灯亮灯正常</w:t>
            </w:r>
          </w:p>
        </w:tc>
      </w:tr>
      <w:tr w14:paraId="118ED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0E84CE9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16</w:t>
            </w:r>
          </w:p>
        </w:tc>
        <w:tc>
          <w:tcPr>
            <w:tcW w:w="2080" w:type="dxa"/>
            <w:vAlign w:val="center"/>
          </w:tcPr>
          <w:p w14:paraId="5434C83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360天擎</w:t>
            </w:r>
          </w:p>
        </w:tc>
        <w:tc>
          <w:tcPr>
            <w:tcW w:w="1040" w:type="dxa"/>
            <w:vAlign w:val="center"/>
          </w:tcPr>
          <w:p w14:paraId="6304ABA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1ACAF6D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版本升级至最新，查杀无病毒</w:t>
            </w:r>
          </w:p>
        </w:tc>
      </w:tr>
      <w:tr w14:paraId="39BD1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009B5F0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17</w:t>
            </w:r>
          </w:p>
        </w:tc>
        <w:tc>
          <w:tcPr>
            <w:tcW w:w="2080" w:type="dxa"/>
            <w:vAlign w:val="center"/>
          </w:tcPr>
          <w:p w14:paraId="18C3839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光栅（光栅分离车辆）</w:t>
            </w:r>
          </w:p>
        </w:tc>
        <w:tc>
          <w:tcPr>
            <w:tcW w:w="1040" w:type="dxa"/>
            <w:vAlign w:val="center"/>
          </w:tcPr>
          <w:p w14:paraId="2B30B1E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383CD0D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可正常收尾，指示灯亮灯正常。</w:t>
            </w:r>
          </w:p>
        </w:tc>
      </w:tr>
      <w:tr w14:paraId="6DA7D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122A4DB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18</w:t>
            </w:r>
          </w:p>
        </w:tc>
        <w:tc>
          <w:tcPr>
            <w:tcW w:w="2080" w:type="dxa"/>
            <w:vAlign w:val="center"/>
          </w:tcPr>
          <w:p w14:paraId="1430CB3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红外探测器</w:t>
            </w:r>
          </w:p>
        </w:tc>
        <w:tc>
          <w:tcPr>
            <w:tcW w:w="1040" w:type="dxa"/>
            <w:vAlign w:val="center"/>
          </w:tcPr>
          <w:p w14:paraId="0B70B99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31C510C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可正常检测车辆，指示灯正常无警告</w:t>
            </w:r>
          </w:p>
        </w:tc>
      </w:tr>
      <w:tr w14:paraId="39322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66CA725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19</w:t>
            </w:r>
          </w:p>
        </w:tc>
        <w:tc>
          <w:tcPr>
            <w:tcW w:w="2080" w:type="dxa"/>
            <w:vAlign w:val="center"/>
          </w:tcPr>
          <w:p w14:paraId="32DFD45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移动支付</w:t>
            </w:r>
          </w:p>
        </w:tc>
        <w:tc>
          <w:tcPr>
            <w:tcW w:w="1040" w:type="dxa"/>
            <w:vAlign w:val="center"/>
          </w:tcPr>
          <w:p w14:paraId="7467425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w:t>
            </w:r>
          </w:p>
        </w:tc>
        <w:tc>
          <w:tcPr>
            <w:tcW w:w="4260" w:type="dxa"/>
            <w:vAlign w:val="center"/>
          </w:tcPr>
          <w:p w14:paraId="184FEAE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功能正常，端口正常</w:t>
            </w:r>
          </w:p>
        </w:tc>
      </w:tr>
      <w:tr w14:paraId="00EF1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20D163C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20</w:t>
            </w:r>
          </w:p>
        </w:tc>
        <w:tc>
          <w:tcPr>
            <w:tcW w:w="2080" w:type="dxa"/>
            <w:vAlign w:val="center"/>
          </w:tcPr>
          <w:p w14:paraId="564BDA2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车道岗亭摄像机</w:t>
            </w:r>
          </w:p>
        </w:tc>
        <w:tc>
          <w:tcPr>
            <w:tcW w:w="1040" w:type="dxa"/>
            <w:vAlign w:val="center"/>
          </w:tcPr>
          <w:p w14:paraId="6F883D1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w:t>
            </w:r>
          </w:p>
        </w:tc>
        <w:tc>
          <w:tcPr>
            <w:tcW w:w="4260" w:type="dxa"/>
            <w:vAlign w:val="center"/>
          </w:tcPr>
          <w:p w14:paraId="0A9CFF5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设备无异常声响、发热，镜头固定、位置正确、无遮挡和污损镜头除尘，清晰度正常</w:t>
            </w:r>
          </w:p>
        </w:tc>
      </w:tr>
      <w:tr w14:paraId="1174A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1A0EE80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21</w:t>
            </w:r>
          </w:p>
        </w:tc>
        <w:tc>
          <w:tcPr>
            <w:tcW w:w="2080" w:type="dxa"/>
            <w:vAlign w:val="center"/>
          </w:tcPr>
          <w:p w14:paraId="1A018C4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液晶显示器</w:t>
            </w:r>
          </w:p>
        </w:tc>
        <w:tc>
          <w:tcPr>
            <w:tcW w:w="1040" w:type="dxa"/>
            <w:vAlign w:val="center"/>
          </w:tcPr>
          <w:p w14:paraId="6B88E70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w:t>
            </w:r>
          </w:p>
        </w:tc>
        <w:tc>
          <w:tcPr>
            <w:tcW w:w="4260" w:type="dxa"/>
            <w:vAlign w:val="center"/>
          </w:tcPr>
          <w:p w14:paraId="3854911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显示正常、清晰</w:t>
            </w:r>
          </w:p>
        </w:tc>
      </w:tr>
      <w:tr w14:paraId="54C0B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564592F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22</w:t>
            </w:r>
          </w:p>
        </w:tc>
        <w:tc>
          <w:tcPr>
            <w:tcW w:w="2080" w:type="dxa"/>
            <w:vAlign w:val="center"/>
          </w:tcPr>
          <w:p w14:paraId="7109226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小黄人</w:t>
            </w:r>
          </w:p>
        </w:tc>
        <w:tc>
          <w:tcPr>
            <w:tcW w:w="1040" w:type="dxa"/>
            <w:vAlign w:val="center"/>
          </w:tcPr>
          <w:p w14:paraId="4A364B2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w:t>
            </w:r>
          </w:p>
        </w:tc>
        <w:tc>
          <w:tcPr>
            <w:tcW w:w="4260" w:type="dxa"/>
            <w:vAlign w:val="center"/>
          </w:tcPr>
          <w:p w14:paraId="5E13E29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五秒视频、车侧、车尾正常拍照，</w:t>
            </w:r>
          </w:p>
        </w:tc>
      </w:tr>
      <w:tr w14:paraId="726EF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0518B48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23</w:t>
            </w:r>
          </w:p>
        </w:tc>
        <w:tc>
          <w:tcPr>
            <w:tcW w:w="2080" w:type="dxa"/>
            <w:vAlign w:val="center"/>
          </w:tcPr>
          <w:p w14:paraId="5EEBD34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雾灯</w:t>
            </w:r>
          </w:p>
        </w:tc>
        <w:tc>
          <w:tcPr>
            <w:tcW w:w="1040" w:type="dxa"/>
            <w:vAlign w:val="center"/>
          </w:tcPr>
          <w:p w14:paraId="53EC3A3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4260" w:type="dxa"/>
            <w:vAlign w:val="center"/>
          </w:tcPr>
          <w:p w14:paraId="7DABFD4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主观判断200m外目测清晰辨识</w:t>
            </w:r>
          </w:p>
        </w:tc>
      </w:tr>
      <w:tr w14:paraId="49AF1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5F9ED58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24</w:t>
            </w:r>
          </w:p>
        </w:tc>
        <w:tc>
          <w:tcPr>
            <w:tcW w:w="2080" w:type="dxa"/>
            <w:vAlign w:val="center"/>
          </w:tcPr>
          <w:p w14:paraId="40C8CF0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报警主机</w:t>
            </w:r>
          </w:p>
        </w:tc>
        <w:tc>
          <w:tcPr>
            <w:tcW w:w="1040" w:type="dxa"/>
            <w:vAlign w:val="center"/>
          </w:tcPr>
          <w:p w14:paraId="08F6DED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4260" w:type="dxa"/>
            <w:vAlign w:val="center"/>
          </w:tcPr>
          <w:p w14:paraId="51FA7B3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按动开关可驱动报警并能准确</w:t>
            </w:r>
            <w:r>
              <w:rPr>
                <w:rFonts w:hint="eastAsia" w:ascii="宋体" w:hAnsi="Times New Roman" w:cs="Times New Roman"/>
                <w:color w:val="000000" w:themeColor="text1"/>
                <w:kern w:val="0"/>
                <w:sz w:val="21"/>
                <w:szCs w:val="20"/>
                <w:lang w:val="en-US" w:eastAsia="zh-CN" w:bidi="ar-SA"/>
                <w14:textFill>
                  <w14:solidFill>
                    <w14:schemeClr w14:val="tx1"/>
                  </w14:solidFill>
                </w14:textFill>
              </w:rPr>
              <w:t>地</w:t>
            </w: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判断手动报警地址，并发出警报声</w:t>
            </w:r>
          </w:p>
        </w:tc>
      </w:tr>
      <w:tr w14:paraId="156FE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080" w:type="dxa"/>
            <w:vAlign w:val="center"/>
          </w:tcPr>
          <w:p w14:paraId="68ABA3C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25</w:t>
            </w:r>
          </w:p>
        </w:tc>
        <w:tc>
          <w:tcPr>
            <w:tcW w:w="2080" w:type="dxa"/>
            <w:vAlign w:val="center"/>
          </w:tcPr>
          <w:p w14:paraId="5F0DDBA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北斗定位与授时系统</w:t>
            </w:r>
          </w:p>
        </w:tc>
        <w:tc>
          <w:tcPr>
            <w:tcW w:w="1040" w:type="dxa"/>
            <w:vAlign w:val="center"/>
          </w:tcPr>
          <w:p w14:paraId="48B3F4E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4260" w:type="dxa"/>
            <w:vAlign w:val="center"/>
          </w:tcPr>
          <w:p w14:paraId="526AD08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时间与北京时间误差不超五秒，端口正常。</w:t>
            </w:r>
          </w:p>
        </w:tc>
      </w:tr>
      <w:tr w14:paraId="4253E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0D6C630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26</w:t>
            </w:r>
          </w:p>
        </w:tc>
        <w:tc>
          <w:tcPr>
            <w:tcW w:w="2080" w:type="dxa"/>
            <w:vAlign w:val="center"/>
          </w:tcPr>
          <w:p w14:paraId="0583156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手动报警开关</w:t>
            </w:r>
          </w:p>
        </w:tc>
        <w:tc>
          <w:tcPr>
            <w:tcW w:w="1040" w:type="dxa"/>
            <w:vAlign w:val="center"/>
          </w:tcPr>
          <w:p w14:paraId="588CEE3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4260" w:type="dxa"/>
            <w:vAlign w:val="center"/>
          </w:tcPr>
          <w:p w14:paraId="31DED59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灵敏度正常，能否正常复位</w:t>
            </w:r>
          </w:p>
        </w:tc>
      </w:tr>
      <w:tr w14:paraId="1D845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62ECB72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27</w:t>
            </w:r>
          </w:p>
        </w:tc>
        <w:tc>
          <w:tcPr>
            <w:tcW w:w="2080" w:type="dxa"/>
            <w:vAlign w:val="center"/>
          </w:tcPr>
          <w:p w14:paraId="77F14BC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语音报价</w:t>
            </w:r>
          </w:p>
        </w:tc>
        <w:tc>
          <w:tcPr>
            <w:tcW w:w="1040" w:type="dxa"/>
            <w:vAlign w:val="center"/>
          </w:tcPr>
          <w:p w14:paraId="4FEB54B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4260" w:type="dxa"/>
            <w:vAlign w:val="center"/>
          </w:tcPr>
          <w:p w14:paraId="32955B4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声音清晰</w:t>
            </w:r>
          </w:p>
        </w:tc>
      </w:tr>
      <w:tr w14:paraId="41306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698C54D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28</w:t>
            </w:r>
          </w:p>
        </w:tc>
        <w:tc>
          <w:tcPr>
            <w:tcW w:w="2080" w:type="dxa"/>
            <w:vAlign w:val="center"/>
          </w:tcPr>
          <w:p w14:paraId="15E13C7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岗亭</w:t>
            </w:r>
          </w:p>
        </w:tc>
        <w:tc>
          <w:tcPr>
            <w:tcW w:w="1040" w:type="dxa"/>
            <w:vAlign w:val="center"/>
          </w:tcPr>
          <w:p w14:paraId="74A60FD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4</w:t>
            </w:r>
          </w:p>
        </w:tc>
        <w:tc>
          <w:tcPr>
            <w:tcW w:w="4260" w:type="dxa"/>
            <w:vAlign w:val="center"/>
          </w:tcPr>
          <w:p w14:paraId="0CF16EB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岗亭内部布线整齐、标识清晰、无鼠咬痕迹</w:t>
            </w:r>
          </w:p>
        </w:tc>
      </w:tr>
      <w:tr w14:paraId="28A5F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23A5E7E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29</w:t>
            </w:r>
          </w:p>
        </w:tc>
        <w:tc>
          <w:tcPr>
            <w:tcW w:w="2080" w:type="dxa"/>
            <w:vAlign w:val="center"/>
          </w:tcPr>
          <w:p w14:paraId="4E72019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入口治超道广播</w:t>
            </w:r>
          </w:p>
        </w:tc>
        <w:tc>
          <w:tcPr>
            <w:tcW w:w="1040" w:type="dxa"/>
            <w:vAlign w:val="center"/>
          </w:tcPr>
          <w:p w14:paraId="1EE7BD2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4</w:t>
            </w:r>
          </w:p>
        </w:tc>
        <w:tc>
          <w:tcPr>
            <w:tcW w:w="4260" w:type="dxa"/>
            <w:vAlign w:val="center"/>
          </w:tcPr>
          <w:p w14:paraId="4A1D409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功能正常，说话清晰。</w:t>
            </w:r>
          </w:p>
        </w:tc>
      </w:tr>
      <w:tr w14:paraId="291E8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0CB3123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30</w:t>
            </w:r>
          </w:p>
        </w:tc>
        <w:tc>
          <w:tcPr>
            <w:tcW w:w="2080" w:type="dxa"/>
            <w:vAlign w:val="center"/>
          </w:tcPr>
          <w:p w14:paraId="2C09630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雨棚信号灯</w:t>
            </w:r>
          </w:p>
        </w:tc>
        <w:tc>
          <w:tcPr>
            <w:tcW w:w="1040" w:type="dxa"/>
            <w:vAlign w:val="center"/>
          </w:tcPr>
          <w:p w14:paraId="2F66FB1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4</w:t>
            </w:r>
          </w:p>
        </w:tc>
        <w:tc>
          <w:tcPr>
            <w:tcW w:w="4260" w:type="dxa"/>
            <w:vAlign w:val="center"/>
          </w:tcPr>
          <w:p w14:paraId="1A9DDE1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200m外目测清晰，红灯和绿灯切换与命令一致</w:t>
            </w:r>
          </w:p>
        </w:tc>
      </w:tr>
      <w:tr w14:paraId="1B0C0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74DADC2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31</w:t>
            </w:r>
          </w:p>
        </w:tc>
        <w:tc>
          <w:tcPr>
            <w:tcW w:w="2080" w:type="dxa"/>
            <w:vAlign w:val="center"/>
          </w:tcPr>
          <w:p w14:paraId="1E27408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通行信号灯</w:t>
            </w:r>
          </w:p>
        </w:tc>
        <w:tc>
          <w:tcPr>
            <w:tcW w:w="1040" w:type="dxa"/>
            <w:vAlign w:val="center"/>
          </w:tcPr>
          <w:p w14:paraId="17A5178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4</w:t>
            </w:r>
          </w:p>
        </w:tc>
        <w:tc>
          <w:tcPr>
            <w:tcW w:w="4260" w:type="dxa"/>
            <w:vAlign w:val="center"/>
          </w:tcPr>
          <w:p w14:paraId="48A7E8D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红色和绿色切换与命令一致，目测清晰可见</w:t>
            </w:r>
          </w:p>
        </w:tc>
      </w:tr>
      <w:tr w14:paraId="73AE7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7B50CE2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32</w:t>
            </w:r>
          </w:p>
        </w:tc>
        <w:tc>
          <w:tcPr>
            <w:tcW w:w="2080" w:type="dxa"/>
            <w:vAlign w:val="center"/>
          </w:tcPr>
          <w:p w14:paraId="4B6B140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声光报警器</w:t>
            </w:r>
          </w:p>
        </w:tc>
        <w:tc>
          <w:tcPr>
            <w:tcW w:w="1040" w:type="dxa"/>
            <w:vAlign w:val="center"/>
          </w:tcPr>
          <w:p w14:paraId="026683D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4</w:t>
            </w:r>
          </w:p>
        </w:tc>
        <w:tc>
          <w:tcPr>
            <w:tcW w:w="4260" w:type="dxa"/>
            <w:vAlign w:val="center"/>
          </w:tcPr>
          <w:p w14:paraId="2C8866A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按规定的触发状态正常工作且声音清晰，闪光清晰可见</w:t>
            </w:r>
          </w:p>
        </w:tc>
      </w:tr>
      <w:tr w14:paraId="4B1B5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7B39F2B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33</w:t>
            </w:r>
          </w:p>
        </w:tc>
        <w:tc>
          <w:tcPr>
            <w:tcW w:w="2080" w:type="dxa"/>
            <w:vAlign w:val="center"/>
          </w:tcPr>
          <w:p w14:paraId="468A10F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便携式收费机</w:t>
            </w:r>
          </w:p>
        </w:tc>
        <w:tc>
          <w:tcPr>
            <w:tcW w:w="1040" w:type="dxa"/>
            <w:vAlign w:val="center"/>
          </w:tcPr>
          <w:p w14:paraId="742E894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4</w:t>
            </w:r>
          </w:p>
        </w:tc>
        <w:tc>
          <w:tcPr>
            <w:tcW w:w="4260" w:type="dxa"/>
            <w:vAlign w:val="center"/>
          </w:tcPr>
          <w:p w14:paraId="666E094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系统正常、功能正常，各数据通讯端口正常</w:t>
            </w:r>
          </w:p>
        </w:tc>
      </w:tr>
      <w:tr w14:paraId="7B217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5012F2E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34</w:t>
            </w:r>
          </w:p>
        </w:tc>
        <w:tc>
          <w:tcPr>
            <w:tcW w:w="2080" w:type="dxa"/>
            <w:vAlign w:val="center"/>
          </w:tcPr>
          <w:p w14:paraId="04D4ECE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手持机</w:t>
            </w:r>
          </w:p>
        </w:tc>
        <w:tc>
          <w:tcPr>
            <w:tcW w:w="1040" w:type="dxa"/>
            <w:vAlign w:val="center"/>
          </w:tcPr>
          <w:p w14:paraId="6A6198B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4</w:t>
            </w:r>
          </w:p>
        </w:tc>
        <w:tc>
          <w:tcPr>
            <w:tcW w:w="4260" w:type="dxa"/>
            <w:vAlign w:val="center"/>
          </w:tcPr>
          <w:p w14:paraId="1AD4690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系统正常、功能正常，各数据通讯端口正常</w:t>
            </w:r>
          </w:p>
        </w:tc>
      </w:tr>
      <w:tr w14:paraId="689D5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0826163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35</w:t>
            </w:r>
          </w:p>
        </w:tc>
        <w:tc>
          <w:tcPr>
            <w:tcW w:w="2080" w:type="dxa"/>
            <w:vAlign w:val="center"/>
          </w:tcPr>
          <w:p w14:paraId="6FDB222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绿通查验终端</w:t>
            </w:r>
          </w:p>
        </w:tc>
        <w:tc>
          <w:tcPr>
            <w:tcW w:w="1040" w:type="dxa"/>
            <w:vAlign w:val="center"/>
          </w:tcPr>
          <w:p w14:paraId="35FA525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4</w:t>
            </w:r>
          </w:p>
        </w:tc>
        <w:tc>
          <w:tcPr>
            <w:tcW w:w="4260" w:type="dxa"/>
            <w:vAlign w:val="center"/>
          </w:tcPr>
          <w:p w14:paraId="0E00751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功能正常</w:t>
            </w:r>
          </w:p>
        </w:tc>
      </w:tr>
      <w:tr w14:paraId="7CC91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2FC2FF1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36</w:t>
            </w:r>
          </w:p>
        </w:tc>
        <w:tc>
          <w:tcPr>
            <w:tcW w:w="2080" w:type="dxa"/>
            <w:vAlign w:val="center"/>
          </w:tcPr>
          <w:p w14:paraId="166A7D1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蓝牙打印机</w:t>
            </w:r>
          </w:p>
        </w:tc>
        <w:tc>
          <w:tcPr>
            <w:tcW w:w="1040" w:type="dxa"/>
            <w:vAlign w:val="center"/>
          </w:tcPr>
          <w:p w14:paraId="0540720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4</w:t>
            </w:r>
          </w:p>
        </w:tc>
        <w:tc>
          <w:tcPr>
            <w:tcW w:w="4260" w:type="dxa"/>
            <w:vAlign w:val="center"/>
          </w:tcPr>
          <w:p w14:paraId="3208478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打印正常</w:t>
            </w:r>
          </w:p>
        </w:tc>
      </w:tr>
      <w:tr w14:paraId="6FBD5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3395EBF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37</w:t>
            </w:r>
          </w:p>
        </w:tc>
        <w:tc>
          <w:tcPr>
            <w:tcW w:w="2080" w:type="dxa"/>
            <w:vAlign w:val="center"/>
          </w:tcPr>
          <w:p w14:paraId="2458145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业务工作站</w:t>
            </w:r>
          </w:p>
        </w:tc>
        <w:tc>
          <w:tcPr>
            <w:tcW w:w="1040" w:type="dxa"/>
            <w:vAlign w:val="center"/>
          </w:tcPr>
          <w:p w14:paraId="3D0879E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4</w:t>
            </w:r>
          </w:p>
        </w:tc>
        <w:tc>
          <w:tcPr>
            <w:tcW w:w="4260" w:type="dxa"/>
            <w:vAlign w:val="center"/>
          </w:tcPr>
          <w:p w14:paraId="0290536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系统正常、功能正常、网络正常</w:t>
            </w:r>
          </w:p>
        </w:tc>
      </w:tr>
      <w:tr w14:paraId="3509F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0F904FD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38</w:t>
            </w:r>
          </w:p>
        </w:tc>
        <w:tc>
          <w:tcPr>
            <w:tcW w:w="2080" w:type="dxa"/>
            <w:vAlign w:val="center"/>
          </w:tcPr>
          <w:p w14:paraId="716D2B4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门禁</w:t>
            </w:r>
          </w:p>
        </w:tc>
        <w:tc>
          <w:tcPr>
            <w:tcW w:w="1040" w:type="dxa"/>
            <w:vAlign w:val="center"/>
          </w:tcPr>
          <w:p w14:paraId="7709ACF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4</w:t>
            </w:r>
          </w:p>
        </w:tc>
        <w:tc>
          <w:tcPr>
            <w:tcW w:w="4260" w:type="dxa"/>
            <w:vAlign w:val="center"/>
          </w:tcPr>
          <w:p w14:paraId="065AD4E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开关正常、刷卡输口令正常</w:t>
            </w:r>
          </w:p>
        </w:tc>
      </w:tr>
      <w:tr w14:paraId="67D00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13E15EB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39</w:t>
            </w:r>
          </w:p>
        </w:tc>
        <w:tc>
          <w:tcPr>
            <w:tcW w:w="2080" w:type="dxa"/>
            <w:vAlign w:val="center"/>
          </w:tcPr>
          <w:p w14:paraId="4B0BED0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手动栏杆</w:t>
            </w:r>
          </w:p>
        </w:tc>
        <w:tc>
          <w:tcPr>
            <w:tcW w:w="1040" w:type="dxa"/>
            <w:vAlign w:val="center"/>
          </w:tcPr>
          <w:p w14:paraId="216E969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4</w:t>
            </w:r>
          </w:p>
        </w:tc>
        <w:tc>
          <w:tcPr>
            <w:tcW w:w="4260" w:type="dxa"/>
            <w:vAlign w:val="center"/>
          </w:tcPr>
          <w:p w14:paraId="7EF3797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横杆与旋转轴连接应灵活、无卡滞现象</w:t>
            </w:r>
          </w:p>
        </w:tc>
      </w:tr>
      <w:tr w14:paraId="641D6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4074D07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40</w:t>
            </w:r>
          </w:p>
        </w:tc>
        <w:tc>
          <w:tcPr>
            <w:tcW w:w="2080" w:type="dxa"/>
            <w:vAlign w:val="center"/>
          </w:tcPr>
          <w:p w14:paraId="791A5B4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车道门架可变信息屏</w:t>
            </w:r>
          </w:p>
        </w:tc>
        <w:tc>
          <w:tcPr>
            <w:tcW w:w="1040" w:type="dxa"/>
            <w:vAlign w:val="center"/>
          </w:tcPr>
          <w:p w14:paraId="0B23573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4</w:t>
            </w:r>
          </w:p>
        </w:tc>
        <w:tc>
          <w:tcPr>
            <w:tcW w:w="4260" w:type="dxa"/>
            <w:vAlign w:val="center"/>
          </w:tcPr>
          <w:p w14:paraId="603B383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通讯正常、无缺字花屏等</w:t>
            </w:r>
          </w:p>
        </w:tc>
      </w:tr>
      <w:tr w14:paraId="17571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78BD384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41</w:t>
            </w:r>
          </w:p>
        </w:tc>
        <w:tc>
          <w:tcPr>
            <w:tcW w:w="2080" w:type="dxa"/>
            <w:vAlign w:val="center"/>
          </w:tcPr>
          <w:p w14:paraId="171D954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岗亭信息屏</w:t>
            </w:r>
          </w:p>
        </w:tc>
        <w:tc>
          <w:tcPr>
            <w:tcW w:w="1040" w:type="dxa"/>
            <w:vAlign w:val="center"/>
          </w:tcPr>
          <w:p w14:paraId="0EDF0C0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4</w:t>
            </w:r>
          </w:p>
        </w:tc>
        <w:tc>
          <w:tcPr>
            <w:tcW w:w="4260" w:type="dxa"/>
            <w:vAlign w:val="center"/>
          </w:tcPr>
          <w:p w14:paraId="127218E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通讯正常、无缺字花屏等</w:t>
            </w:r>
          </w:p>
        </w:tc>
      </w:tr>
      <w:tr w14:paraId="03134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6CF1FE0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42</w:t>
            </w:r>
          </w:p>
        </w:tc>
        <w:tc>
          <w:tcPr>
            <w:tcW w:w="2080" w:type="dxa"/>
            <w:vAlign w:val="center"/>
          </w:tcPr>
          <w:p w14:paraId="6BF8B08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标准机柜</w:t>
            </w:r>
          </w:p>
        </w:tc>
        <w:tc>
          <w:tcPr>
            <w:tcW w:w="1040" w:type="dxa"/>
            <w:vAlign w:val="center"/>
          </w:tcPr>
          <w:p w14:paraId="0967396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4</w:t>
            </w:r>
          </w:p>
        </w:tc>
        <w:tc>
          <w:tcPr>
            <w:tcW w:w="4260" w:type="dxa"/>
            <w:vAlign w:val="center"/>
          </w:tcPr>
          <w:p w14:paraId="6B7057B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外观无破损</w:t>
            </w:r>
          </w:p>
        </w:tc>
      </w:tr>
      <w:tr w14:paraId="7A423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460" w:type="dxa"/>
            <w:gridSpan w:val="4"/>
            <w:vAlign w:val="center"/>
          </w:tcPr>
          <w:p w14:paraId="7BE8B29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b/>
                <w:bCs/>
                <w:color w:val="000000" w:themeColor="text1"/>
                <w:kern w:val="0"/>
                <w:sz w:val="21"/>
                <w:szCs w:val="20"/>
                <w:lang w:val="en-US" w:eastAsia="zh-CN" w:bidi="ar-SA"/>
                <w14:textFill>
                  <w14:solidFill>
                    <w14:schemeClr w14:val="tx1"/>
                  </w14:solidFill>
                </w14:textFill>
              </w:rPr>
              <w:t>供配电系统</w:t>
            </w:r>
          </w:p>
        </w:tc>
      </w:tr>
      <w:tr w14:paraId="53011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709B66D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2080" w:type="dxa"/>
            <w:vAlign w:val="center"/>
          </w:tcPr>
          <w:p w14:paraId="17F619F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UPS主机</w:t>
            </w:r>
          </w:p>
        </w:tc>
        <w:tc>
          <w:tcPr>
            <w:tcW w:w="1040" w:type="dxa"/>
            <w:vAlign w:val="center"/>
          </w:tcPr>
          <w:p w14:paraId="16CA7BC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03E159B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供电正常，能准确判断市电和备用电源供电方式，对故障能准确报警提示</w:t>
            </w:r>
          </w:p>
        </w:tc>
      </w:tr>
      <w:tr w14:paraId="5D838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570F4C4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w:t>
            </w:r>
          </w:p>
        </w:tc>
        <w:tc>
          <w:tcPr>
            <w:tcW w:w="2080" w:type="dxa"/>
            <w:vAlign w:val="center"/>
          </w:tcPr>
          <w:p w14:paraId="6BF4C3E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电缆</w:t>
            </w:r>
          </w:p>
        </w:tc>
        <w:tc>
          <w:tcPr>
            <w:tcW w:w="1040" w:type="dxa"/>
            <w:vAlign w:val="center"/>
          </w:tcPr>
          <w:p w14:paraId="657D6AD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7592920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无断点</w:t>
            </w:r>
          </w:p>
        </w:tc>
      </w:tr>
      <w:tr w14:paraId="5EC31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4D4FAB4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2080" w:type="dxa"/>
            <w:vAlign w:val="center"/>
          </w:tcPr>
          <w:p w14:paraId="06A31DC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配电箱</w:t>
            </w:r>
          </w:p>
        </w:tc>
        <w:tc>
          <w:tcPr>
            <w:tcW w:w="1040" w:type="dxa"/>
            <w:vAlign w:val="center"/>
          </w:tcPr>
          <w:p w14:paraId="497F0E1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w:t>
            </w:r>
          </w:p>
        </w:tc>
        <w:tc>
          <w:tcPr>
            <w:tcW w:w="4260" w:type="dxa"/>
            <w:vAlign w:val="center"/>
          </w:tcPr>
          <w:p w14:paraId="1EF572F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供电正常，线路整齐无烧焦痕迹、空开正常</w:t>
            </w:r>
          </w:p>
        </w:tc>
      </w:tr>
      <w:tr w14:paraId="05D9D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5DD6DB6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4</w:t>
            </w:r>
          </w:p>
        </w:tc>
        <w:tc>
          <w:tcPr>
            <w:tcW w:w="2080" w:type="dxa"/>
            <w:vAlign w:val="center"/>
          </w:tcPr>
          <w:p w14:paraId="1E9C98A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移动式发电机</w:t>
            </w:r>
          </w:p>
        </w:tc>
        <w:tc>
          <w:tcPr>
            <w:tcW w:w="1040" w:type="dxa"/>
            <w:vAlign w:val="center"/>
          </w:tcPr>
          <w:p w14:paraId="5EB35D8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4260" w:type="dxa"/>
            <w:vAlign w:val="center"/>
          </w:tcPr>
          <w:p w14:paraId="0F7EF79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发电正常，燃油充足</w:t>
            </w:r>
          </w:p>
        </w:tc>
      </w:tr>
      <w:tr w14:paraId="0F76A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3C9A4AB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5</w:t>
            </w:r>
          </w:p>
        </w:tc>
        <w:tc>
          <w:tcPr>
            <w:tcW w:w="2080" w:type="dxa"/>
            <w:vAlign w:val="center"/>
          </w:tcPr>
          <w:p w14:paraId="5D15B83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防雷</w:t>
            </w:r>
          </w:p>
        </w:tc>
        <w:tc>
          <w:tcPr>
            <w:tcW w:w="1040" w:type="dxa"/>
            <w:vAlign w:val="center"/>
          </w:tcPr>
          <w:p w14:paraId="220CE2A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4260" w:type="dxa"/>
            <w:vAlign w:val="center"/>
          </w:tcPr>
          <w:p w14:paraId="7A74C83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防雷器无损坏，接地电阻正常</w:t>
            </w:r>
          </w:p>
        </w:tc>
      </w:tr>
      <w:tr w14:paraId="0A406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177E373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6</w:t>
            </w:r>
          </w:p>
        </w:tc>
        <w:tc>
          <w:tcPr>
            <w:tcW w:w="2080" w:type="dxa"/>
            <w:vAlign w:val="center"/>
          </w:tcPr>
          <w:p w14:paraId="2B2ECF3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UPS蓄电池</w:t>
            </w:r>
          </w:p>
        </w:tc>
        <w:tc>
          <w:tcPr>
            <w:tcW w:w="1040" w:type="dxa"/>
            <w:vAlign w:val="center"/>
          </w:tcPr>
          <w:p w14:paraId="2ECF26C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4</w:t>
            </w:r>
          </w:p>
        </w:tc>
        <w:tc>
          <w:tcPr>
            <w:tcW w:w="4260" w:type="dxa"/>
            <w:vAlign w:val="center"/>
          </w:tcPr>
          <w:p w14:paraId="3CD3D2F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是否有漏液等情况，电压输出是否正常</w:t>
            </w:r>
          </w:p>
        </w:tc>
      </w:tr>
      <w:tr w14:paraId="6C9E7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2F74966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7</w:t>
            </w:r>
          </w:p>
        </w:tc>
        <w:tc>
          <w:tcPr>
            <w:tcW w:w="2080" w:type="dxa"/>
            <w:vAlign w:val="center"/>
          </w:tcPr>
          <w:p w14:paraId="383726B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稳压器</w:t>
            </w:r>
          </w:p>
        </w:tc>
        <w:tc>
          <w:tcPr>
            <w:tcW w:w="1040" w:type="dxa"/>
            <w:vAlign w:val="center"/>
          </w:tcPr>
          <w:p w14:paraId="54257E2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4</w:t>
            </w:r>
          </w:p>
        </w:tc>
        <w:tc>
          <w:tcPr>
            <w:tcW w:w="4260" w:type="dxa"/>
            <w:vAlign w:val="center"/>
          </w:tcPr>
          <w:p w14:paraId="7F8D800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指示灯正常、功能正常</w:t>
            </w:r>
          </w:p>
        </w:tc>
      </w:tr>
      <w:tr w14:paraId="089D2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460" w:type="dxa"/>
            <w:gridSpan w:val="4"/>
            <w:vAlign w:val="center"/>
          </w:tcPr>
          <w:p w14:paraId="5C956F5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b/>
                <w:bCs/>
                <w:color w:val="000000" w:themeColor="text1"/>
                <w:kern w:val="0"/>
                <w:sz w:val="21"/>
                <w:szCs w:val="20"/>
                <w:lang w:val="en-US" w:eastAsia="zh-CN" w:bidi="ar-SA"/>
                <w14:textFill>
                  <w14:solidFill>
                    <w14:schemeClr w14:val="tx1"/>
                  </w14:solidFill>
                </w14:textFill>
              </w:rPr>
              <w:t>ETC门架系统</w:t>
            </w:r>
          </w:p>
        </w:tc>
      </w:tr>
      <w:tr w14:paraId="30022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6D3ECEA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2080" w:type="dxa"/>
            <w:vAlign w:val="center"/>
          </w:tcPr>
          <w:p w14:paraId="5BB7C56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门架服务器</w:t>
            </w:r>
          </w:p>
        </w:tc>
        <w:tc>
          <w:tcPr>
            <w:tcW w:w="1040" w:type="dxa"/>
            <w:vAlign w:val="center"/>
          </w:tcPr>
          <w:p w14:paraId="75BEA11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740F0AC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系统正常，服务正常</w:t>
            </w:r>
          </w:p>
        </w:tc>
      </w:tr>
      <w:tr w14:paraId="46684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046D28E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w:t>
            </w:r>
          </w:p>
        </w:tc>
        <w:tc>
          <w:tcPr>
            <w:tcW w:w="2080" w:type="dxa"/>
            <w:vAlign w:val="center"/>
          </w:tcPr>
          <w:p w14:paraId="772EF5F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工控机</w:t>
            </w:r>
          </w:p>
        </w:tc>
        <w:tc>
          <w:tcPr>
            <w:tcW w:w="1040" w:type="dxa"/>
            <w:vAlign w:val="center"/>
          </w:tcPr>
          <w:p w14:paraId="52C98E2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2CA957F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工控机运行正常，业务正常无警告</w:t>
            </w:r>
          </w:p>
        </w:tc>
      </w:tr>
      <w:tr w14:paraId="3C722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16119BB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2080" w:type="dxa"/>
            <w:vAlign w:val="center"/>
          </w:tcPr>
          <w:p w14:paraId="0E762C2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RSU</w:t>
            </w:r>
          </w:p>
        </w:tc>
        <w:tc>
          <w:tcPr>
            <w:tcW w:w="1040" w:type="dxa"/>
            <w:vAlign w:val="center"/>
          </w:tcPr>
          <w:p w14:paraId="44D07B1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6951732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天线角度正常，可正常识别</w:t>
            </w:r>
          </w:p>
        </w:tc>
      </w:tr>
      <w:tr w14:paraId="40EEC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7EB53E9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4</w:t>
            </w:r>
          </w:p>
        </w:tc>
        <w:tc>
          <w:tcPr>
            <w:tcW w:w="2080" w:type="dxa"/>
            <w:vAlign w:val="center"/>
          </w:tcPr>
          <w:p w14:paraId="2E75C76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RSU控制器</w:t>
            </w:r>
          </w:p>
        </w:tc>
        <w:tc>
          <w:tcPr>
            <w:tcW w:w="1040" w:type="dxa"/>
            <w:vAlign w:val="center"/>
          </w:tcPr>
          <w:p w14:paraId="1473D4F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1C05FE5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正常过车，指示灯正常</w:t>
            </w:r>
          </w:p>
        </w:tc>
      </w:tr>
      <w:tr w14:paraId="4EE32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3C175A8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5</w:t>
            </w:r>
          </w:p>
        </w:tc>
        <w:tc>
          <w:tcPr>
            <w:tcW w:w="2080" w:type="dxa"/>
            <w:vAlign w:val="center"/>
          </w:tcPr>
          <w:p w14:paraId="10D48E2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工业以太网交换机</w:t>
            </w:r>
          </w:p>
        </w:tc>
        <w:tc>
          <w:tcPr>
            <w:tcW w:w="1040" w:type="dxa"/>
            <w:vAlign w:val="center"/>
          </w:tcPr>
          <w:p w14:paraId="4BF55F2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72CD799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通讯正常，指示灯正常无警告</w:t>
            </w:r>
          </w:p>
        </w:tc>
      </w:tr>
      <w:tr w14:paraId="61368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67F83E0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6</w:t>
            </w:r>
          </w:p>
        </w:tc>
        <w:tc>
          <w:tcPr>
            <w:tcW w:w="2080" w:type="dxa"/>
            <w:vAlign w:val="center"/>
          </w:tcPr>
          <w:p w14:paraId="0517B3C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三层交换机</w:t>
            </w:r>
          </w:p>
        </w:tc>
        <w:tc>
          <w:tcPr>
            <w:tcW w:w="1040" w:type="dxa"/>
            <w:vAlign w:val="center"/>
          </w:tcPr>
          <w:p w14:paraId="7E2435E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489AB0C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通讯正常，指示灯正常无警告</w:t>
            </w:r>
          </w:p>
        </w:tc>
      </w:tr>
      <w:tr w14:paraId="26625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3EB919E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7</w:t>
            </w:r>
          </w:p>
        </w:tc>
        <w:tc>
          <w:tcPr>
            <w:tcW w:w="2080" w:type="dxa"/>
            <w:vAlign w:val="center"/>
          </w:tcPr>
          <w:p w14:paraId="0A9ED4D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车牌识别设备</w:t>
            </w:r>
          </w:p>
        </w:tc>
        <w:tc>
          <w:tcPr>
            <w:tcW w:w="1040" w:type="dxa"/>
            <w:vAlign w:val="center"/>
          </w:tcPr>
          <w:p w14:paraId="31ED861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2416FDA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抓拍图片正常，识别率95%以上</w:t>
            </w:r>
          </w:p>
        </w:tc>
      </w:tr>
      <w:tr w14:paraId="1A2CD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0B69485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8</w:t>
            </w:r>
          </w:p>
        </w:tc>
        <w:tc>
          <w:tcPr>
            <w:tcW w:w="2080" w:type="dxa"/>
            <w:vAlign w:val="center"/>
          </w:tcPr>
          <w:p w14:paraId="555AC30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远程供电设备</w:t>
            </w:r>
          </w:p>
        </w:tc>
        <w:tc>
          <w:tcPr>
            <w:tcW w:w="1040" w:type="dxa"/>
            <w:vAlign w:val="center"/>
          </w:tcPr>
          <w:p w14:paraId="47E550F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387D8F1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可正常供电</w:t>
            </w:r>
          </w:p>
        </w:tc>
      </w:tr>
      <w:tr w14:paraId="3AC3E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2536F24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9</w:t>
            </w:r>
          </w:p>
        </w:tc>
        <w:tc>
          <w:tcPr>
            <w:tcW w:w="2080" w:type="dxa"/>
            <w:vAlign w:val="center"/>
          </w:tcPr>
          <w:p w14:paraId="0B1007B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UPS</w:t>
            </w:r>
          </w:p>
        </w:tc>
        <w:tc>
          <w:tcPr>
            <w:tcW w:w="1040" w:type="dxa"/>
            <w:vAlign w:val="center"/>
          </w:tcPr>
          <w:p w14:paraId="364CB7C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4FF81E0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可正常供电，持续时间＞2小时</w:t>
            </w:r>
          </w:p>
        </w:tc>
      </w:tr>
      <w:tr w14:paraId="3AE85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40B5C7D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10</w:t>
            </w:r>
          </w:p>
        </w:tc>
        <w:tc>
          <w:tcPr>
            <w:tcW w:w="2080" w:type="dxa"/>
            <w:vAlign w:val="center"/>
          </w:tcPr>
          <w:p w14:paraId="60FF23A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电源模块</w:t>
            </w:r>
          </w:p>
        </w:tc>
        <w:tc>
          <w:tcPr>
            <w:tcW w:w="1040" w:type="dxa"/>
            <w:vAlign w:val="center"/>
          </w:tcPr>
          <w:p w14:paraId="73CD5B3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2DC3BE1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供电正常，指示灯正常</w:t>
            </w:r>
          </w:p>
        </w:tc>
      </w:tr>
      <w:tr w14:paraId="42C11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2C896B1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11</w:t>
            </w:r>
          </w:p>
        </w:tc>
        <w:tc>
          <w:tcPr>
            <w:tcW w:w="2080" w:type="dxa"/>
            <w:vAlign w:val="center"/>
          </w:tcPr>
          <w:p w14:paraId="66083D7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电缆</w:t>
            </w:r>
          </w:p>
        </w:tc>
        <w:tc>
          <w:tcPr>
            <w:tcW w:w="1040" w:type="dxa"/>
            <w:vAlign w:val="center"/>
          </w:tcPr>
          <w:p w14:paraId="028AEA0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651CB31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无断点</w:t>
            </w:r>
          </w:p>
        </w:tc>
      </w:tr>
      <w:tr w14:paraId="48F7C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670A3BF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12</w:t>
            </w:r>
          </w:p>
        </w:tc>
        <w:tc>
          <w:tcPr>
            <w:tcW w:w="2080" w:type="dxa"/>
            <w:vAlign w:val="center"/>
          </w:tcPr>
          <w:p w14:paraId="78675CF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光缆</w:t>
            </w:r>
          </w:p>
        </w:tc>
        <w:tc>
          <w:tcPr>
            <w:tcW w:w="1040" w:type="dxa"/>
            <w:vAlign w:val="center"/>
          </w:tcPr>
          <w:p w14:paraId="78323D3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w:t>
            </w:r>
          </w:p>
        </w:tc>
        <w:tc>
          <w:tcPr>
            <w:tcW w:w="4260" w:type="dxa"/>
            <w:vAlign w:val="center"/>
          </w:tcPr>
          <w:p w14:paraId="19015F3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光纤无破损，可正常通信。</w:t>
            </w:r>
          </w:p>
        </w:tc>
      </w:tr>
      <w:tr w14:paraId="240CB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6EDF2B5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13</w:t>
            </w:r>
          </w:p>
        </w:tc>
        <w:tc>
          <w:tcPr>
            <w:tcW w:w="2080" w:type="dxa"/>
            <w:vAlign w:val="center"/>
          </w:tcPr>
          <w:p w14:paraId="5ADA8EA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光纤盘</w:t>
            </w:r>
          </w:p>
        </w:tc>
        <w:tc>
          <w:tcPr>
            <w:tcW w:w="1040" w:type="dxa"/>
            <w:vAlign w:val="center"/>
          </w:tcPr>
          <w:p w14:paraId="143CDC2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w:t>
            </w:r>
          </w:p>
        </w:tc>
        <w:tc>
          <w:tcPr>
            <w:tcW w:w="4260" w:type="dxa"/>
            <w:vAlign w:val="center"/>
          </w:tcPr>
          <w:p w14:paraId="7B53C38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连接正常，无衰减</w:t>
            </w:r>
          </w:p>
        </w:tc>
      </w:tr>
      <w:tr w14:paraId="6C00C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48076F6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14</w:t>
            </w:r>
          </w:p>
        </w:tc>
        <w:tc>
          <w:tcPr>
            <w:tcW w:w="2080" w:type="dxa"/>
            <w:vAlign w:val="center"/>
          </w:tcPr>
          <w:p w14:paraId="23D367F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高清摄像机</w:t>
            </w:r>
          </w:p>
        </w:tc>
        <w:tc>
          <w:tcPr>
            <w:tcW w:w="1040" w:type="dxa"/>
            <w:vAlign w:val="center"/>
          </w:tcPr>
          <w:p w14:paraId="1A7DA83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4260" w:type="dxa"/>
            <w:vAlign w:val="center"/>
          </w:tcPr>
          <w:p w14:paraId="376610E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图像清晰，播放正常，字符正常。</w:t>
            </w:r>
          </w:p>
        </w:tc>
      </w:tr>
      <w:tr w14:paraId="258F0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64C9002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15</w:t>
            </w:r>
          </w:p>
        </w:tc>
        <w:tc>
          <w:tcPr>
            <w:tcW w:w="2080" w:type="dxa"/>
            <w:vAlign w:val="center"/>
          </w:tcPr>
          <w:p w14:paraId="7FCC8B8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车辆检测器</w:t>
            </w:r>
          </w:p>
        </w:tc>
        <w:tc>
          <w:tcPr>
            <w:tcW w:w="1040" w:type="dxa"/>
            <w:vAlign w:val="center"/>
          </w:tcPr>
          <w:p w14:paraId="10BAED4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4260" w:type="dxa"/>
            <w:vAlign w:val="center"/>
          </w:tcPr>
          <w:p w14:paraId="44988B4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正常检测车辆</w:t>
            </w:r>
          </w:p>
        </w:tc>
      </w:tr>
      <w:tr w14:paraId="0B06D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1F8843F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16</w:t>
            </w:r>
          </w:p>
        </w:tc>
        <w:tc>
          <w:tcPr>
            <w:tcW w:w="2080" w:type="dxa"/>
            <w:vAlign w:val="center"/>
          </w:tcPr>
          <w:p w14:paraId="58F3F5F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空调</w:t>
            </w:r>
          </w:p>
        </w:tc>
        <w:tc>
          <w:tcPr>
            <w:tcW w:w="1040" w:type="dxa"/>
            <w:vAlign w:val="center"/>
          </w:tcPr>
          <w:p w14:paraId="2BEE51C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4260" w:type="dxa"/>
            <w:vAlign w:val="center"/>
          </w:tcPr>
          <w:p w14:paraId="549A917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制冷正常，功能正常</w:t>
            </w:r>
          </w:p>
        </w:tc>
      </w:tr>
      <w:tr w14:paraId="07B27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21E1501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17</w:t>
            </w:r>
          </w:p>
        </w:tc>
        <w:tc>
          <w:tcPr>
            <w:tcW w:w="2080" w:type="dxa"/>
            <w:vAlign w:val="center"/>
          </w:tcPr>
          <w:p w14:paraId="241DA96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烟感探测器</w:t>
            </w:r>
          </w:p>
        </w:tc>
        <w:tc>
          <w:tcPr>
            <w:tcW w:w="1040" w:type="dxa"/>
            <w:vAlign w:val="center"/>
          </w:tcPr>
          <w:p w14:paraId="03774EA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4260" w:type="dxa"/>
            <w:vAlign w:val="center"/>
          </w:tcPr>
          <w:p w14:paraId="480DB6F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功能正常，警告正常</w:t>
            </w:r>
          </w:p>
        </w:tc>
      </w:tr>
      <w:tr w14:paraId="10E83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4E493C1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18</w:t>
            </w:r>
          </w:p>
        </w:tc>
        <w:tc>
          <w:tcPr>
            <w:tcW w:w="2080" w:type="dxa"/>
            <w:vAlign w:val="center"/>
          </w:tcPr>
          <w:p w14:paraId="1D928D6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门禁</w:t>
            </w:r>
          </w:p>
        </w:tc>
        <w:tc>
          <w:tcPr>
            <w:tcW w:w="1040" w:type="dxa"/>
            <w:vAlign w:val="center"/>
          </w:tcPr>
          <w:p w14:paraId="4BB205F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4260" w:type="dxa"/>
            <w:vAlign w:val="center"/>
          </w:tcPr>
          <w:p w14:paraId="72F1B74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功能正常，警告正常</w:t>
            </w:r>
          </w:p>
        </w:tc>
      </w:tr>
      <w:tr w14:paraId="06952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6F228C2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19</w:t>
            </w:r>
          </w:p>
        </w:tc>
        <w:tc>
          <w:tcPr>
            <w:tcW w:w="2080" w:type="dxa"/>
            <w:vAlign w:val="center"/>
          </w:tcPr>
          <w:p w14:paraId="256C380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防雷</w:t>
            </w:r>
          </w:p>
        </w:tc>
        <w:tc>
          <w:tcPr>
            <w:tcW w:w="1040" w:type="dxa"/>
            <w:vAlign w:val="center"/>
          </w:tcPr>
          <w:p w14:paraId="455AF61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3</w:t>
            </w:r>
          </w:p>
        </w:tc>
        <w:tc>
          <w:tcPr>
            <w:tcW w:w="4260" w:type="dxa"/>
            <w:vAlign w:val="center"/>
          </w:tcPr>
          <w:p w14:paraId="0EFFA18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防雷器无损坏，接地电阻正常</w:t>
            </w:r>
          </w:p>
        </w:tc>
      </w:tr>
      <w:tr w14:paraId="4B040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01466F5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20</w:t>
            </w:r>
          </w:p>
        </w:tc>
        <w:tc>
          <w:tcPr>
            <w:tcW w:w="2080" w:type="dxa"/>
            <w:vAlign w:val="center"/>
          </w:tcPr>
          <w:p w14:paraId="06FE0B8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补光灯</w:t>
            </w:r>
          </w:p>
        </w:tc>
        <w:tc>
          <w:tcPr>
            <w:tcW w:w="1040" w:type="dxa"/>
            <w:vAlign w:val="center"/>
          </w:tcPr>
          <w:p w14:paraId="39FFDFB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4</w:t>
            </w:r>
          </w:p>
        </w:tc>
        <w:tc>
          <w:tcPr>
            <w:tcW w:w="4260" w:type="dxa"/>
            <w:vAlign w:val="center"/>
          </w:tcPr>
          <w:p w14:paraId="6569D70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亮度正常，控制正常</w:t>
            </w:r>
          </w:p>
        </w:tc>
      </w:tr>
      <w:tr w14:paraId="6C969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80" w:type="dxa"/>
            <w:vAlign w:val="center"/>
          </w:tcPr>
          <w:p w14:paraId="4E92621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21</w:t>
            </w:r>
          </w:p>
        </w:tc>
        <w:tc>
          <w:tcPr>
            <w:tcW w:w="2080" w:type="dxa"/>
            <w:vAlign w:val="center"/>
          </w:tcPr>
          <w:p w14:paraId="7D19076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户外综合机柜</w:t>
            </w:r>
          </w:p>
        </w:tc>
        <w:tc>
          <w:tcPr>
            <w:tcW w:w="1040" w:type="dxa"/>
            <w:vAlign w:val="center"/>
          </w:tcPr>
          <w:p w14:paraId="5E3EC09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4</w:t>
            </w:r>
          </w:p>
        </w:tc>
        <w:tc>
          <w:tcPr>
            <w:tcW w:w="4260" w:type="dxa"/>
            <w:vAlign w:val="center"/>
          </w:tcPr>
          <w:p w14:paraId="568E7B9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pPr>
            <w:r>
              <w:rPr>
                <w:rFonts w:hint="default" w:ascii="宋体" w:hAnsi="Times New Roman" w:eastAsia="宋体" w:cs="Times New Roman"/>
                <w:color w:val="000000" w:themeColor="text1"/>
                <w:kern w:val="0"/>
                <w:sz w:val="21"/>
                <w:szCs w:val="20"/>
                <w:lang w:val="en-US" w:eastAsia="zh-CN" w:bidi="ar-SA"/>
                <w14:textFill>
                  <w14:solidFill>
                    <w14:schemeClr w14:val="tx1"/>
                  </w14:solidFill>
                </w14:textFill>
              </w:rPr>
              <w:t>外观无破损，开关正常</w:t>
            </w:r>
          </w:p>
        </w:tc>
      </w:tr>
    </w:tbl>
    <w:p w14:paraId="01CB601B">
      <w:pPr>
        <w:pStyle w:val="105"/>
        <w:spacing w:before="156" w:after="156"/>
        <w:rPr>
          <w:color w:val="000000" w:themeColor="text1"/>
          <w14:textFill>
            <w14:solidFill>
              <w14:schemeClr w14:val="tx1"/>
            </w14:solidFill>
          </w14:textFill>
        </w:rPr>
      </w:pPr>
      <w:bookmarkStart w:id="89" w:name="_Toc176447257"/>
      <w:r>
        <w:rPr>
          <w:rFonts w:hint="eastAsia"/>
          <w:color w:val="000000" w:themeColor="text1"/>
          <w14:textFill>
            <w14:solidFill>
              <w14:schemeClr w14:val="tx1"/>
            </w14:solidFill>
          </w14:textFill>
        </w:rPr>
        <w:t>内部管理</w:t>
      </w:r>
      <w:bookmarkEnd w:id="89"/>
    </w:p>
    <w:p w14:paraId="49C797C2">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管理人员岗位前移至综合服务站，强化后台与现场管理；</w:t>
      </w:r>
    </w:p>
    <w:p w14:paraId="173E258A">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管理人员每天对机电运行情况和通行费收入、解款情况进行审查；</w:t>
      </w:r>
    </w:p>
    <w:p w14:paraId="52EA886E">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管理辅助人员对收费班长实时稽核情况及票、卡、款情况进行复核、清点、回收；</w:t>
      </w:r>
    </w:p>
    <w:p w14:paraId="0F9EE060">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收费员24小时值守远程监控车道情况，及时解决各类异常情况，特殊情况时提供现场服务。</w:t>
      </w:r>
    </w:p>
    <w:p w14:paraId="277798E5">
      <w:pPr>
        <w:pStyle w:val="105"/>
        <w:spacing w:before="156" w:after="156"/>
        <w:rPr>
          <w:color w:val="000000" w:themeColor="text1"/>
          <w14:textFill>
            <w14:solidFill>
              <w14:schemeClr w14:val="tx1"/>
            </w14:solidFill>
          </w14:textFill>
        </w:rPr>
      </w:pPr>
      <w:bookmarkStart w:id="90" w:name="_Toc176447258"/>
      <w:r>
        <w:rPr>
          <w:rFonts w:hint="eastAsia"/>
          <w:color w:val="000000" w:themeColor="text1"/>
          <w14:textFill>
            <w14:solidFill>
              <w14:schemeClr w14:val="tx1"/>
            </w14:solidFill>
          </w14:textFill>
        </w:rPr>
        <w:t>远程值守</w:t>
      </w:r>
      <w:bookmarkEnd w:id="90"/>
    </w:p>
    <w:p w14:paraId="26F73C59">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24小时有人员值守，实时监控车道通行情况和报警异常信息，并接受上级的监控监督；</w:t>
      </w:r>
    </w:p>
    <w:p w14:paraId="15D2A52E">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规范操作远程交互系统，正确处置车道异常事件；</w:t>
      </w:r>
    </w:p>
    <w:p w14:paraId="16141519">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值守人员保持良好的精神面貌和服务态度，未经上级批准不擅自离岗，特殊情况需有人顶替；</w:t>
      </w:r>
    </w:p>
    <w:p w14:paraId="104AE793">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车道异常信息或用户“一键呼叫”需求要在10秒时间内接通并采取处置措施，无法通过远程处置的先引离车道后派人现场处置。</w:t>
      </w:r>
    </w:p>
    <w:p w14:paraId="3E1EA99D">
      <w:pPr>
        <w:pStyle w:val="105"/>
        <w:spacing w:before="156" w:after="156"/>
        <w:rPr>
          <w:color w:val="000000" w:themeColor="text1"/>
          <w14:textFill>
            <w14:solidFill>
              <w14:schemeClr w14:val="tx1"/>
            </w14:solidFill>
          </w14:textFill>
        </w:rPr>
      </w:pPr>
      <w:bookmarkStart w:id="91" w:name="_Toc176447259"/>
      <w:r>
        <w:rPr>
          <w:rFonts w:hint="eastAsia"/>
          <w:color w:val="000000" w:themeColor="text1"/>
          <w14:textFill>
            <w14:solidFill>
              <w14:schemeClr w14:val="tx1"/>
            </w14:solidFill>
          </w14:textFill>
        </w:rPr>
        <w:t>稽核业务</w:t>
      </w:r>
      <w:bookmarkEnd w:id="91"/>
    </w:p>
    <w:p w14:paraId="57D9DE85">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班长实时稽核</w:t>
      </w:r>
    </w:p>
    <w:p w14:paraId="5EAD289B">
      <w:pPr>
        <w:pStyle w:val="174"/>
        <w:numPr>
          <w:ilvl w:val="0"/>
          <w:numId w:val="34"/>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明确收费班长稽核权限，不能超越权限处理业务；</w:t>
      </w:r>
    </w:p>
    <w:p w14:paraId="0C650D61">
      <w:pPr>
        <w:pStyle w:val="174"/>
        <w:numPr>
          <w:ilvl w:val="0"/>
          <w:numId w:val="34"/>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禁止未经批准将有关车辆通行信息或收费数据泄露、拷贝、调阅给外部单位或个人（包括本单位员工）；</w:t>
      </w:r>
    </w:p>
    <w:p w14:paraId="18E01964">
      <w:pPr>
        <w:pStyle w:val="174"/>
        <w:numPr>
          <w:ilvl w:val="0"/>
          <w:numId w:val="34"/>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未授权人员不能进入稽核工作区域，不能使用稽核电脑，不能调阅、查阅数据信息；</w:t>
      </w:r>
    </w:p>
    <w:p w14:paraId="03CF31FC">
      <w:pPr>
        <w:pStyle w:val="174"/>
        <w:numPr>
          <w:ilvl w:val="0"/>
          <w:numId w:val="34"/>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对现金收费、人工抬杆、车队、锁杆、</w:t>
      </w:r>
      <w:r>
        <w:rPr>
          <w:rFonts w:hint="eastAsia"/>
          <w:color w:val="000000" w:themeColor="text1"/>
          <w:lang w:eastAsia="zh-CN"/>
          <w14:textFill>
            <w14:solidFill>
              <w14:schemeClr w14:val="tx1"/>
            </w14:solidFill>
          </w14:textFill>
        </w:rPr>
        <w:t>冲卡</w:t>
      </w:r>
      <w:r>
        <w:rPr>
          <w:rFonts w:hint="eastAsia"/>
          <w:color w:val="000000" w:themeColor="text1"/>
          <w14:textFill>
            <w14:solidFill>
              <w14:schemeClr w14:val="tx1"/>
            </w14:solidFill>
          </w14:textFill>
        </w:rPr>
        <w:t>等可能存在廉洁风险的特情操作要进行录像审查；</w:t>
      </w:r>
    </w:p>
    <w:p w14:paraId="2B43621F">
      <w:pPr>
        <w:pStyle w:val="174"/>
        <w:numPr>
          <w:ilvl w:val="0"/>
          <w:numId w:val="34"/>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对在收费公路通行过程中发生过拒交、逃交、少交车辆通行费等行为的按相关规定处理；</w:t>
      </w:r>
    </w:p>
    <w:p w14:paraId="74D14536">
      <w:pPr>
        <w:pStyle w:val="174"/>
        <w:numPr>
          <w:ilvl w:val="0"/>
          <w:numId w:val="34"/>
        </w:numPr>
        <w:rPr>
          <w:color w:val="000000" w:themeColor="text1"/>
          <w14:textFill>
            <w14:solidFill>
              <w14:schemeClr w14:val="tx1"/>
            </w14:solidFill>
          </w14:textFill>
        </w:rPr>
      </w:pPr>
      <w:r>
        <w:rPr>
          <w:rFonts w:hint="eastAsia"/>
          <w:color w:val="000000" w:themeColor="text1"/>
          <w14:textFill>
            <w14:solidFill>
              <w14:schemeClr w14:val="tx1"/>
            </w14:solidFill>
          </w14:textFill>
        </w:rPr>
        <w:t>实时稽核人员接受上级24小时监控，确保数据安全。</w:t>
      </w:r>
    </w:p>
    <w:p w14:paraId="3212A5DC">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所站级稽核</w:t>
      </w:r>
    </w:p>
    <w:p w14:paraId="4425B3E5">
      <w:pPr>
        <w:pStyle w:val="174"/>
        <w:numPr>
          <w:ilvl w:val="0"/>
          <w:numId w:val="35"/>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对现金收费、人工抬杆、车队、锁杆、</w:t>
      </w:r>
      <w:r>
        <w:rPr>
          <w:rFonts w:hint="eastAsia"/>
          <w:color w:val="000000" w:themeColor="text1"/>
          <w:lang w:eastAsia="zh-CN"/>
          <w14:textFill>
            <w14:solidFill>
              <w14:schemeClr w14:val="tx1"/>
            </w14:solidFill>
          </w14:textFill>
        </w:rPr>
        <w:t>冲卡</w:t>
      </w:r>
      <w:r>
        <w:rPr>
          <w:rFonts w:hint="eastAsia"/>
          <w:color w:val="000000" w:themeColor="text1"/>
          <w14:textFill>
            <w14:solidFill>
              <w14:schemeClr w14:val="tx1"/>
            </w14:solidFill>
          </w14:textFill>
        </w:rPr>
        <w:t>等可能存在廉洁风险的特情操作审查率达到100%；</w:t>
      </w:r>
    </w:p>
    <w:p w14:paraId="0054B040">
      <w:pPr>
        <w:pStyle w:val="174"/>
        <w:numPr>
          <w:ilvl w:val="0"/>
          <w:numId w:val="35"/>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对除本条第一款外的其他流水数据抽查比例不低于30%；</w:t>
      </w:r>
    </w:p>
    <w:p w14:paraId="021EEE2B">
      <w:pPr>
        <w:pStyle w:val="174"/>
        <w:numPr>
          <w:ilvl w:val="0"/>
          <w:numId w:val="35"/>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对实时稽核出的追缴名单车辆进行核实；</w:t>
      </w:r>
    </w:p>
    <w:p w14:paraId="60D72021">
      <w:pPr>
        <w:pStyle w:val="174"/>
        <w:numPr>
          <w:ilvl w:val="0"/>
          <w:numId w:val="35"/>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每15天至少对收费站、收费班开展一次现场检查，突击检查异常情况记录及当时处置录像，清点实物；</w:t>
      </w:r>
    </w:p>
    <w:p w14:paraId="3F91E185">
      <w:pPr>
        <w:pStyle w:val="174"/>
        <w:numPr>
          <w:ilvl w:val="0"/>
          <w:numId w:val="35"/>
        </w:numPr>
        <w:rPr>
          <w:color w:val="000000" w:themeColor="text1"/>
          <w14:textFill>
            <w14:solidFill>
              <w14:schemeClr w14:val="tx1"/>
            </w14:solidFill>
          </w14:textFill>
        </w:rPr>
      </w:pPr>
      <w:r>
        <w:rPr>
          <w:rFonts w:hint="eastAsia"/>
          <w:color w:val="000000" w:themeColor="text1"/>
          <w14:textFill>
            <w14:solidFill>
              <w14:schemeClr w14:val="tx1"/>
            </w14:solidFill>
          </w14:textFill>
        </w:rPr>
        <w:t>审查结果及时通报给相关所站及班组，并督促问题整改情况。</w:t>
      </w:r>
    </w:p>
    <w:p w14:paraId="23A1562B">
      <w:pPr>
        <w:pStyle w:val="105"/>
        <w:spacing w:before="156" w:after="156"/>
        <w:rPr>
          <w:color w:val="000000" w:themeColor="text1"/>
          <w14:textFill>
            <w14:solidFill>
              <w14:schemeClr w14:val="tx1"/>
            </w14:solidFill>
          </w14:textFill>
        </w:rPr>
      </w:pPr>
      <w:bookmarkStart w:id="92" w:name="_Toc176447260"/>
      <w:r>
        <w:rPr>
          <w:rFonts w:hint="eastAsia"/>
          <w:color w:val="000000" w:themeColor="text1"/>
          <w14:textFill>
            <w14:solidFill>
              <w14:schemeClr w14:val="tx1"/>
            </w14:solidFill>
          </w14:textFill>
        </w:rPr>
        <w:t>交接班</w:t>
      </w:r>
      <w:bookmarkEnd w:id="92"/>
    </w:p>
    <w:p w14:paraId="3688A348">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由收费班长带队上下班，检查收费班员随身携带物品情况，禁止违规私带物品上岗；</w:t>
      </w:r>
    </w:p>
    <w:p w14:paraId="381EC720">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在收费班长的监督下，完成票、卡、款的交接，按规定存入指定的保险柜内，填写交接凭证，双方班长与交接人共同签字确认；</w:t>
      </w:r>
    </w:p>
    <w:p w14:paraId="51D1E9B3">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经指定的管理辅助岗人员定时在当班班长的监督下对前一日票、卡、款进行清算、回收，并在交接凭证上签字。</w:t>
      </w:r>
    </w:p>
    <w:p w14:paraId="5E0C7A18">
      <w:pPr>
        <w:pStyle w:val="105"/>
        <w:spacing w:before="156" w:after="156"/>
        <w:rPr>
          <w:color w:val="000000" w:themeColor="text1"/>
          <w14:textFill>
            <w14:solidFill>
              <w14:schemeClr w14:val="tx1"/>
            </w14:solidFill>
          </w14:textFill>
        </w:rPr>
      </w:pPr>
      <w:bookmarkStart w:id="93" w:name="_Toc176447261"/>
      <w:r>
        <w:rPr>
          <w:rFonts w:hint="eastAsia"/>
          <w:color w:val="000000" w:themeColor="text1"/>
          <w14:textFill>
            <w14:solidFill>
              <w14:schemeClr w14:val="tx1"/>
            </w14:solidFill>
          </w14:textFill>
        </w:rPr>
        <w:t>现金收费</w:t>
      </w:r>
      <w:bookmarkEnd w:id="93"/>
    </w:p>
    <w:p w14:paraId="3C942AAE">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收费站鼓励用户使用移动支付，但不得拒绝现金缴费；</w:t>
      </w:r>
    </w:p>
    <w:p w14:paraId="622241C6">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现金交易量小的收费站可开通移动支付专用账号，存入定量备用金，代用户实现移动支付，减少现金缴款压力；</w:t>
      </w:r>
    </w:p>
    <w:p w14:paraId="6730A95C">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用户未开通手机移动支付功能或不愿意使用移动支付的，收费员收取用户现金并找零，通过收费站专用账号为用户扫码支付，告知用户获取发票渠道；</w:t>
      </w:r>
    </w:p>
    <w:p w14:paraId="35E63659">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交接班时，交接人员对现金金额以及收费站专用账号支付金额（含收款单位）进行核对，签字确认；</w:t>
      </w:r>
    </w:p>
    <w:p w14:paraId="713922D3">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收费站无法开通对公专用账户时，使用站长个人身份开通专用账户，并向上级收费管理部门报备。</w:t>
      </w:r>
    </w:p>
    <w:p w14:paraId="7FBD46F7">
      <w:pPr>
        <w:pStyle w:val="105"/>
        <w:spacing w:before="156" w:after="156"/>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CPC卡管理</w:t>
      </w:r>
    </w:p>
    <w:p w14:paraId="33B1621B">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正常情况下，出口回收的正常卡直接用于下一班次的入口使用；</w:t>
      </w:r>
    </w:p>
    <w:p w14:paraId="25786D24">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出口回收卡超过</w:t>
      </w:r>
      <w:r>
        <w:rPr>
          <w:rFonts w:hint="eastAsia"/>
          <w:color w:val="000000" w:themeColor="text1"/>
          <w:lang w:val="en-US" w:eastAsia="zh-CN"/>
          <w14:textFill>
            <w14:solidFill>
              <w14:schemeClr w14:val="tx1"/>
            </w14:solidFill>
          </w14:textFill>
        </w:rPr>
        <w:t>自助发卡设备</w:t>
      </w:r>
      <w:r>
        <w:rPr>
          <w:rFonts w:hint="eastAsia"/>
          <w:color w:val="000000" w:themeColor="text1"/>
          <w14:textFill>
            <w14:solidFill>
              <w14:schemeClr w14:val="tx1"/>
            </w14:solidFill>
          </w14:textFill>
        </w:rPr>
        <w:t>容纳范围时，收费员将出口回收卡存入指定保险柜，由收费站指定的管理辅助岗人员收回至票管房保存；</w:t>
      </w:r>
    </w:p>
    <w:p w14:paraId="20D5AAE0">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CPC卡管理应基于部通行介质管理平台开展；</w:t>
      </w:r>
    </w:p>
    <w:p w14:paraId="2ECA3D0C">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CPC卡发放时严格遵循“一车一卡”原则及收费业务要求；</w:t>
      </w:r>
    </w:p>
    <w:p w14:paraId="48A786D5">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收费站每15天对库存卡进行一次轮换，保持CPC卡的正常流转；</w:t>
      </w:r>
    </w:p>
    <w:p w14:paraId="35D9824F">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对无法使用的CPC卡进行核销。</w:t>
      </w:r>
    </w:p>
    <w:p w14:paraId="17861ADF">
      <w:pPr>
        <w:pStyle w:val="105"/>
        <w:spacing w:before="156" w:after="156"/>
        <w:rPr>
          <w:color w:val="000000" w:themeColor="text1"/>
          <w14:textFill>
            <w14:solidFill>
              <w14:schemeClr w14:val="tx1"/>
            </w14:solidFill>
          </w14:textFill>
        </w:rPr>
      </w:pPr>
      <w:bookmarkStart w:id="94" w:name="_Toc176447263"/>
      <w:r>
        <w:rPr>
          <w:rFonts w:hint="eastAsia"/>
          <w:color w:val="000000" w:themeColor="text1"/>
          <w14:textFill>
            <w14:solidFill>
              <w14:schemeClr w14:val="tx1"/>
            </w14:solidFill>
          </w14:textFill>
        </w:rPr>
        <w:t>安全管理</w:t>
      </w:r>
      <w:bookmarkEnd w:id="94"/>
    </w:p>
    <w:p w14:paraId="599F5F46">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进入收费区域必须穿着反光服；</w:t>
      </w:r>
    </w:p>
    <w:p w14:paraId="509C4A5C">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穿越车道通行斑马线和指定路径，车道无车辆时再通过；</w:t>
      </w:r>
    </w:p>
    <w:p w14:paraId="6C2032C4">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发现行人、非机动车、超限货车等禁止上高速的通过远程交互系统喊话劝离，无效情况下人工劝离；</w:t>
      </w:r>
    </w:p>
    <w:p w14:paraId="2ADD6174">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机电设备巡查巡检或维修时，做到规范操作，非特殊情况禁止带电或明火作业。</w:t>
      </w:r>
    </w:p>
    <w:p w14:paraId="0485F595">
      <w:pPr>
        <w:pStyle w:val="105"/>
        <w:spacing w:before="156" w:after="156"/>
        <w:rPr>
          <w:color w:val="000000" w:themeColor="text1"/>
          <w14:textFill>
            <w14:solidFill>
              <w14:schemeClr w14:val="tx1"/>
            </w14:solidFill>
          </w14:textFill>
        </w:rPr>
      </w:pPr>
      <w:bookmarkStart w:id="95" w:name="_Toc176447264"/>
      <w:r>
        <w:rPr>
          <w:rFonts w:hint="eastAsia"/>
          <w:color w:val="000000" w:themeColor="text1"/>
          <w14:textFill>
            <w14:solidFill>
              <w14:schemeClr w14:val="tx1"/>
            </w14:solidFill>
          </w14:textFill>
        </w:rPr>
        <w:t>优免车辆查验</w:t>
      </w:r>
      <w:bookmarkEnd w:id="95"/>
    </w:p>
    <w:p w14:paraId="2BC09F00">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对固定的、长期在本区域执行正常巡逻任务的制式警车采取备案制，按车牌核对行驶区域后免费放行；</w:t>
      </w:r>
    </w:p>
    <w:p w14:paraId="4B7137F0">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对于绿通车、运输联合收割机（插秧机）、无牌军（警）车及经交通主管部门批准执行抢险救援任务的车辆，由远程值守或现场执勤人员现场查验后放行；</w:t>
      </w:r>
    </w:p>
    <w:p w14:paraId="6CFA9EA3">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对于持“大件运输证”的车辆用户，通过远程交互功能扫描“大件运输证”验证真伪后放行。</w:t>
      </w:r>
    </w:p>
    <w:p w14:paraId="4BCBA574">
      <w:pPr>
        <w:pStyle w:val="105"/>
        <w:spacing w:before="156" w:after="156"/>
        <w:rPr>
          <w:color w:val="000000" w:themeColor="text1"/>
          <w14:textFill>
            <w14:solidFill>
              <w14:schemeClr w14:val="tx1"/>
            </w14:solidFill>
          </w14:textFill>
        </w:rPr>
      </w:pPr>
      <w:bookmarkStart w:id="96" w:name="_Toc176447265"/>
      <w:r>
        <w:rPr>
          <w:rFonts w:hint="eastAsia"/>
          <w:color w:val="000000" w:themeColor="text1"/>
          <w14:textFill>
            <w14:solidFill>
              <w14:schemeClr w14:val="tx1"/>
            </w14:solidFill>
          </w14:textFill>
        </w:rPr>
        <w:t>应急保畅</w:t>
      </w:r>
      <w:bookmarkEnd w:id="96"/>
    </w:p>
    <w:p w14:paraId="2F480B86">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在重大节假日和车流量高峰期时，收费站要安排充足人员维持通行秩序，协助用户快速完成取卡和交费等操作，利用手持终端设备进行复式发卡、收费；</w:t>
      </w:r>
    </w:p>
    <w:p w14:paraId="52AB9CC9">
      <w:pPr>
        <w:pStyle w:val="165"/>
        <w:rPr>
          <w:rFonts w:hint="eastAsia" w:hAnsi="Times New Roman" w:cs="Times New Roman"/>
          <w:color w:val="000000" w:themeColor="text1"/>
          <w14:textFill>
            <w14:solidFill>
              <w14:schemeClr w14:val="tx1"/>
            </w14:solidFill>
          </w14:textFill>
        </w:rPr>
      </w:pPr>
      <w:r>
        <w:rPr>
          <w:rFonts w:hint="default" w:hAnsi="Times New Roman" w:cs="Times New Roman"/>
          <w:color w:val="000000" w:themeColor="text1"/>
          <w:lang w:val="en-US" w:eastAsia="zh-CN"/>
          <w14:textFill>
            <w14:solidFill>
              <w14:schemeClr w14:val="tx1"/>
            </w14:solidFill>
          </w14:textFill>
        </w:rPr>
        <w:t>机电设备出现故障影响正常收费时，收费站要安排人员现场使用手持终端（便携式收费机）收费与保畅，经报告路段收费管理部门同意、省交通监控指挥中心批准后发放纸质通行券</w:t>
      </w:r>
      <w:r>
        <w:rPr>
          <w:rFonts w:hint="eastAsia" w:hAnsi="Times New Roman" w:cs="Times New Roman"/>
          <w:color w:val="000000" w:themeColor="text1"/>
          <w14:textFill>
            <w14:solidFill>
              <w14:schemeClr w14:val="tx1"/>
            </w14:solidFill>
          </w14:textFill>
        </w:rPr>
        <w:t>；</w:t>
      </w:r>
    </w:p>
    <w:p w14:paraId="7850C538">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收费现场发生交通事故影响其他车辆通行的先行报警，协助用户拍照留证后引导车辆停靠安全区域并疏通车道；</w:t>
      </w:r>
    </w:p>
    <w:p w14:paraId="2100E001">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特大雷、暴雨天气、火灾、网络安全攻击等对机电设备造成伤害的，关闭或中断设备电源；</w:t>
      </w:r>
    </w:p>
    <w:p w14:paraId="41BA7CBC">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遇上述情况时，立即向上级报告。</w:t>
      </w:r>
    </w:p>
    <w:p w14:paraId="7ED271FC">
      <w:pPr>
        <w:pStyle w:val="105"/>
        <w:spacing w:before="156" w:after="156"/>
        <w:rPr>
          <w:color w:val="000000" w:themeColor="text1"/>
          <w14:textFill>
            <w14:solidFill>
              <w14:schemeClr w14:val="tx1"/>
            </w14:solidFill>
          </w14:textFill>
        </w:rPr>
      </w:pPr>
      <w:bookmarkStart w:id="97" w:name="_Toc176447266"/>
      <w:r>
        <w:rPr>
          <w:rFonts w:hint="eastAsia"/>
          <w:color w:val="000000" w:themeColor="text1"/>
          <w14:textFill>
            <w14:solidFill>
              <w14:schemeClr w14:val="tx1"/>
            </w14:solidFill>
          </w14:textFill>
        </w:rPr>
        <w:t>特情处置</w:t>
      </w:r>
      <w:bookmarkEnd w:id="97"/>
    </w:p>
    <w:p w14:paraId="47855F81">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遇车辆冲卡逃费时，要调取车辆通行信息，保存冲卡时段录像及相关证据材料，录入追缴工单系统；</w:t>
      </w:r>
    </w:p>
    <w:p w14:paraId="5228C7BC">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用户滞留车道时，远程值守人员通过远程交互系统主动与用户进行沟通，了解其需求，提供远程可视化服务；</w:t>
      </w:r>
    </w:p>
    <w:p w14:paraId="44CCEA72">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入口牵引货车的轴组与车型确认、车牌识别错误、出口识别车牌或车型与入口信息不一致、出口无卡、坏卡、无入口信息卡等特情要先告知用户情况，并核查处理；</w:t>
      </w:r>
    </w:p>
    <w:p w14:paraId="0F518FB3">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ETC车辆天线识别异常、车载器（OBU）故障，但ETC卡完好且有入口信息而交易不成功、不起杆时，远程指导用户在ETC刷卡机上完成交易；</w:t>
      </w:r>
    </w:p>
    <w:p w14:paraId="0E0A9C5D">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ETC车辆无入口信息时，远程按无卡操作后，指导用户在ETC刷卡机上完成交易；</w:t>
      </w:r>
    </w:p>
    <w:p w14:paraId="1B3FB81A">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非ETC车辆进入ETC车道或无卡、CPC卡无入口信息时，远程操作引导用户驶离车道到指定位置处理或远程按无卡、坏卡操作后指导用户选择ETC刷卡或移动支付方式完成交易；</w:t>
      </w:r>
    </w:p>
    <w:p w14:paraId="34C86E72">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发现因收费系统或设备故障等原因造成计费不准确，要主动联系用户告知原委，多退少补；</w:t>
      </w:r>
    </w:p>
    <w:p w14:paraId="60BFD8B2">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执行保畅任务时，收费站安排人员现场值勤，对车道栏杆实施人工管控</w:t>
      </w:r>
      <w:r>
        <w:rPr>
          <w:rFonts w:hint="eastAsia"/>
          <w:color w:val="000000" w:themeColor="text1"/>
          <w:lang w:val="en-US" w:eastAsia="zh-CN"/>
          <w14:textFill>
            <w14:solidFill>
              <w14:schemeClr w14:val="tx1"/>
            </w14:solidFill>
          </w14:textFill>
        </w:rPr>
        <w:t>；</w:t>
      </w:r>
    </w:p>
    <w:p w14:paraId="6F8EA7C6">
      <w:pPr>
        <w:pStyle w:val="165"/>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在车道上</w:t>
      </w:r>
      <w:r>
        <w:rPr>
          <w:rFonts w:hint="eastAsia"/>
          <w:color w:val="000000" w:themeColor="text1"/>
          <w:lang w:val="en-US" w:eastAsia="zh-CN"/>
          <w14:textFill>
            <w14:solidFill>
              <w14:schemeClr w14:val="tx1"/>
            </w14:solidFill>
          </w14:textFill>
        </w:rPr>
        <w:t>布设</w:t>
      </w:r>
      <w:r>
        <w:rPr>
          <w:rFonts w:hint="eastAsia"/>
          <w:color w:val="000000" w:themeColor="text1"/>
          <w:lang w:eastAsia="zh-CN"/>
          <w14:textFill>
            <w14:solidFill>
              <w14:schemeClr w14:val="tx1"/>
            </w14:solidFill>
          </w14:textFill>
        </w:rPr>
        <w:t>行人及非机动车上高速预警系统，该系统能够识别工作人员，并发出声光电报警提示。</w:t>
      </w:r>
    </w:p>
    <w:p w14:paraId="33D7AE79">
      <w:pPr>
        <w:pStyle w:val="105"/>
        <w:spacing w:before="156" w:after="156"/>
        <w:rPr>
          <w:color w:val="000000" w:themeColor="text1"/>
          <w14:textFill>
            <w14:solidFill>
              <w14:schemeClr w14:val="tx1"/>
            </w14:solidFill>
          </w14:textFill>
        </w:rPr>
      </w:pPr>
      <w:bookmarkStart w:id="98" w:name="_Toc176447267"/>
      <w:r>
        <w:rPr>
          <w:rFonts w:hint="eastAsia"/>
          <w:color w:val="000000" w:themeColor="text1"/>
          <w14:textFill>
            <w14:solidFill>
              <w14:schemeClr w14:val="tx1"/>
            </w14:solidFill>
          </w14:textFill>
        </w:rPr>
        <w:t>货车超限检测</w:t>
      </w:r>
      <w:bookmarkEnd w:id="98"/>
    </w:p>
    <w:p w14:paraId="3C7EC323">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入、出口混合车道具备货车称重检测功能，系统自动根据识别的</w:t>
      </w:r>
      <w:r>
        <w:rPr>
          <w:rFonts w:hint="eastAsia"/>
          <w:color w:val="000000" w:themeColor="text1"/>
          <w:lang w:eastAsia="zh-CN"/>
          <w14:textFill>
            <w14:solidFill>
              <w14:schemeClr w14:val="tx1"/>
            </w14:solidFill>
          </w14:textFill>
        </w:rPr>
        <w:t>轴组</w:t>
      </w:r>
      <w:r>
        <w:rPr>
          <w:rFonts w:hint="eastAsia"/>
          <w:color w:val="000000" w:themeColor="text1"/>
          <w14:textFill>
            <w14:solidFill>
              <w14:schemeClr w14:val="tx1"/>
            </w14:solidFill>
          </w14:textFill>
        </w:rPr>
        <w:t>和重量判断车辆是否超限；</w:t>
      </w:r>
    </w:p>
    <w:p w14:paraId="427F51E5">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入口判断为超限的车辆，自动报警提醒远程值守人员和用户，系统自动语音劝返超限车辆并通过语音和文字方式提示后方车辆注意让行，车辆超限数据自动传输至交通运输综合执法单位；</w:t>
      </w:r>
    </w:p>
    <w:p w14:paraId="6E5B0616">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出口对系统判断为超限的车辆，车辆超限数据自动传输至交通运输综合执法单位，正常收取通行费；</w:t>
      </w:r>
    </w:p>
    <w:p w14:paraId="4222CB90">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对违规冲卡上下高速的超限车辆，收费员要详细记录冲卡时间、车辆号牌、车貌特征等信息，保存冲卡录像通报公安机关和交通运输综合执法单位；</w:t>
      </w:r>
    </w:p>
    <w:p w14:paraId="214D7CAC">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当车道称重检测设备出现故障时，现场采集称重检测前端机柜数据或者使用便携式称重仪检测，对未超重货车实施发卡，无数据采集来源的情况下，对空载货车发卡，引导其它有载货货车从就近收费站上高速。</w:t>
      </w:r>
    </w:p>
    <w:p w14:paraId="78EB502D">
      <w:pPr>
        <w:pStyle w:val="105"/>
        <w:spacing w:before="156" w:after="156"/>
        <w:rPr>
          <w:color w:val="000000" w:themeColor="text1"/>
          <w14:textFill>
            <w14:solidFill>
              <w14:schemeClr w14:val="tx1"/>
            </w14:solidFill>
          </w14:textFill>
        </w:rPr>
      </w:pPr>
      <w:bookmarkStart w:id="99" w:name="_Toc176447268"/>
      <w:r>
        <w:rPr>
          <w:rFonts w:hint="eastAsia"/>
          <w:color w:val="000000" w:themeColor="text1"/>
          <w14:textFill>
            <w14:solidFill>
              <w14:schemeClr w14:val="tx1"/>
            </w14:solidFill>
          </w14:textFill>
        </w:rPr>
        <w:t>车型、车牌有效识别率</w:t>
      </w:r>
      <w:bookmarkEnd w:id="99"/>
    </w:p>
    <w:p w14:paraId="598B7519">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每天对车道车型、车牌的识别率情况进行巡检，保障有效识别率达到相关规定，发现问题及时解决；</w:t>
      </w:r>
    </w:p>
    <w:p w14:paraId="05461D8B">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每15天对车型、车牌识别设备保养一次，做好日常防尘除污等工作；</w:t>
      </w:r>
    </w:p>
    <w:p w14:paraId="754909D4">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建立车型、车牌识别设备的使用监测台账，对即将达到使用年限或故障率频发的设备做好及时更换；</w:t>
      </w:r>
    </w:p>
    <w:p w14:paraId="4A7279C4">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当车型、车牌识别设备发生故障时，收费站立即上报并督促维护单位在规定时间内完成修复；</w:t>
      </w:r>
    </w:p>
    <w:p w14:paraId="09F42D5E">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当车型、车牌识别设备无法正常工作时，现场或远程操作修正后发卡、收费。</w:t>
      </w:r>
    </w:p>
    <w:p w14:paraId="285A2C56">
      <w:pPr>
        <w:pStyle w:val="105"/>
        <w:spacing w:before="156" w:after="156"/>
        <w:rPr>
          <w:color w:val="000000" w:themeColor="text1"/>
          <w14:textFill>
            <w14:solidFill>
              <w14:schemeClr w14:val="tx1"/>
            </w14:solidFill>
          </w14:textFill>
        </w:rPr>
      </w:pPr>
      <w:bookmarkStart w:id="100" w:name="_Toc176447269"/>
      <w:r>
        <w:rPr>
          <w:rFonts w:hint="eastAsia"/>
          <w:color w:val="000000" w:themeColor="text1"/>
          <w14:textFill>
            <w14:solidFill>
              <w14:schemeClr w14:val="tx1"/>
            </w14:solidFill>
          </w14:textFill>
        </w:rPr>
        <w:t>交易准确率</w:t>
      </w:r>
      <w:bookmarkEnd w:id="100"/>
    </w:p>
    <w:p w14:paraId="29EF88C5">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对入、出口通行车辆的稽核率达到100%，重点查看收费车型、计算费率、计费里程是否准确；</w:t>
      </w:r>
    </w:p>
    <w:p w14:paraId="7DB3214F">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每15天对各车道、各车型的交易情况进行抽检，保障有效识别率达到相关规定，发现异常及时查找原因并解决；</w:t>
      </w:r>
    </w:p>
    <w:p w14:paraId="4AF251E0">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每天对车道上传流水和数据完整性进行检查，存在异常时立即排查原因并处理；</w:t>
      </w:r>
    </w:p>
    <w:p w14:paraId="6CE0ED68">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当交易准确率出现问题时，收费站要立即逐级报告上级单位快速解决，未解决期间要有人员现场或远程操作修正处理。</w:t>
      </w:r>
    </w:p>
    <w:p w14:paraId="6B4F0BCA">
      <w:pPr>
        <w:pStyle w:val="105"/>
        <w:spacing w:before="156" w:after="156"/>
        <w:rPr>
          <w:color w:val="000000" w:themeColor="text1"/>
          <w14:textFill>
            <w14:solidFill>
              <w14:schemeClr w14:val="tx1"/>
            </w14:solidFill>
          </w14:textFill>
        </w:rPr>
      </w:pPr>
      <w:bookmarkStart w:id="101" w:name="_Toc176447270"/>
      <w:r>
        <w:rPr>
          <w:rFonts w:hint="eastAsia"/>
          <w:color w:val="000000" w:themeColor="text1"/>
          <w14:textFill>
            <w14:solidFill>
              <w14:schemeClr w14:val="tx1"/>
            </w14:solidFill>
          </w14:textFill>
        </w:rPr>
        <w:t>ETC有效通过率</w:t>
      </w:r>
      <w:bookmarkEnd w:id="101"/>
    </w:p>
    <w:p w14:paraId="68A73EE2">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每天对ETC微波天线运行情况进行巡检，保障有效识别率达到相关规定，发现问题及时解决；</w:t>
      </w:r>
    </w:p>
    <w:p w14:paraId="129784FB">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加强ETC车道的实时监测，发现异常立即对症处理；</w:t>
      </w:r>
    </w:p>
    <w:p w14:paraId="149311C9">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ETC车辆未识别或未正常收费的，要通过现场或远程操作方式引导用户快速处理；</w:t>
      </w:r>
    </w:p>
    <w:p w14:paraId="3D622E70">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非ETC车辆进入ETC车道时，现场或远程操作起杆，引导车辆到指定地点使用手持终端设备发卡、收费。</w:t>
      </w:r>
    </w:p>
    <w:p w14:paraId="298334CE">
      <w:pPr>
        <w:pStyle w:val="105"/>
        <w:spacing w:before="156" w:after="156"/>
        <w:rPr>
          <w:color w:val="000000" w:themeColor="text1"/>
          <w14:textFill>
            <w14:solidFill>
              <w14:schemeClr w14:val="tx1"/>
            </w14:solidFill>
          </w14:textFill>
        </w:rPr>
      </w:pPr>
      <w:bookmarkStart w:id="102" w:name="_Toc176447271"/>
      <w:r>
        <w:rPr>
          <w:rFonts w:hint="eastAsia"/>
          <w:color w:val="000000" w:themeColor="text1"/>
          <w14:textFill>
            <w14:solidFill>
              <w14:schemeClr w14:val="tx1"/>
            </w14:solidFill>
          </w14:textFill>
        </w:rPr>
        <w:t>收费网络保障</w:t>
      </w:r>
      <w:bookmarkEnd w:id="102"/>
    </w:p>
    <w:p w14:paraId="1E8E2249">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每天对收费网络进行巡检，确保正常</w:t>
      </w:r>
      <w:r>
        <w:rPr>
          <w:rFonts w:hint="eastAsia"/>
          <w:color w:val="000000" w:themeColor="text1"/>
          <w:lang w:val="en-US" w:eastAsia="zh-CN"/>
          <w14:textFill>
            <w14:solidFill>
              <w14:schemeClr w14:val="tx1"/>
            </w14:solidFill>
          </w14:textFill>
        </w:rPr>
        <w:t>联</w:t>
      </w:r>
      <w:r>
        <w:rPr>
          <w:rFonts w:hint="eastAsia"/>
          <w:color w:val="000000" w:themeColor="text1"/>
          <w14:textFill>
            <w14:solidFill>
              <w14:schemeClr w14:val="tx1"/>
            </w14:solidFill>
          </w14:textFill>
        </w:rPr>
        <w:t>网状态，网速在规定范围内；</w:t>
      </w:r>
    </w:p>
    <w:p w14:paraId="1384AC56">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每半个月对网络相关硬件设施进行保养，做好日常除尘及温、湿度控制；</w:t>
      </w:r>
    </w:p>
    <w:p w14:paraId="2AE69180">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做好收费网络的链路备份，确保环形网络不中断；</w:t>
      </w:r>
    </w:p>
    <w:p w14:paraId="13DAAC68">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发生网络中断故障，立即逐级报告上级单位，并启动应急预案，经批准后入口发放纸质通行券，出口按司机口述入口站收费或者采取“先行后交”的方式处理。</w:t>
      </w:r>
    </w:p>
    <w:p w14:paraId="277C1BCD">
      <w:pPr>
        <w:pStyle w:val="105"/>
        <w:spacing w:before="156" w:after="156"/>
        <w:rPr>
          <w:color w:val="000000" w:themeColor="text1"/>
          <w14:textFill>
            <w14:solidFill>
              <w14:schemeClr w14:val="tx1"/>
            </w14:solidFill>
          </w14:textFill>
        </w:rPr>
      </w:pPr>
      <w:bookmarkStart w:id="103" w:name="_Toc176447272"/>
      <w:r>
        <w:rPr>
          <w:rFonts w:hint="eastAsia"/>
          <w:color w:val="000000" w:themeColor="text1"/>
          <w14:textFill>
            <w14:solidFill>
              <w14:schemeClr w14:val="tx1"/>
            </w14:solidFill>
          </w14:textFill>
        </w:rPr>
        <w:t>收费系统保障</w:t>
      </w:r>
      <w:bookmarkEnd w:id="103"/>
    </w:p>
    <w:p w14:paraId="01199F88">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收费站要保证收费服务器和各收费工作设备保持正常开机运行状态，每天检查收费参数更新情况，保持各收费参数处于最新状态；</w:t>
      </w:r>
    </w:p>
    <w:p w14:paraId="7C45EF97">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当收费系统未实现自动更新时，收费站管理辅助人员要通过人工方式下载更新并向上级报告；</w:t>
      </w:r>
    </w:p>
    <w:p w14:paraId="1B755AC9">
      <w:pPr>
        <w:pStyle w:val="16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当收费系统发生故障时，逐级向上级报告并组织维修人员在规定时间内完成修复；</w:t>
      </w:r>
    </w:p>
    <w:p w14:paraId="6D2996E5">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收费系统故障不能正常发卡、收费时，在经批准后入口发放纸质通行券，出口使用手持终端收费，严重时通报交通管理部门实施临时交通管制，引导车辆从其</w:t>
      </w:r>
      <w:r>
        <w:rPr>
          <w:rFonts w:hint="eastAsia"/>
          <w:color w:val="000000" w:themeColor="text1"/>
          <w:lang w:val="en-US" w:eastAsia="zh-CN"/>
          <w14:textFill>
            <w14:solidFill>
              <w14:schemeClr w14:val="tx1"/>
            </w14:solidFill>
          </w14:textFill>
        </w:rPr>
        <w:t>他</w:t>
      </w:r>
      <w:r>
        <w:rPr>
          <w:rFonts w:hint="eastAsia"/>
          <w:color w:val="000000" w:themeColor="text1"/>
          <w14:textFill>
            <w14:solidFill>
              <w14:schemeClr w14:val="tx1"/>
            </w14:solidFill>
          </w14:textFill>
        </w:rPr>
        <w:t>站通行。</w:t>
      </w:r>
    </w:p>
    <w:p w14:paraId="6014786A">
      <w:pPr>
        <w:pStyle w:val="105"/>
        <w:spacing w:before="156" w:after="156"/>
        <w:rPr>
          <w:color w:val="000000" w:themeColor="text1"/>
          <w14:textFill>
            <w14:solidFill>
              <w14:schemeClr w14:val="tx1"/>
            </w14:solidFill>
          </w14:textFill>
        </w:rPr>
      </w:pPr>
      <w:bookmarkStart w:id="104" w:name="_Toc176447273"/>
      <w:r>
        <w:rPr>
          <w:rFonts w:hint="eastAsia"/>
          <w:color w:val="000000" w:themeColor="text1"/>
          <w14:textFill>
            <w14:solidFill>
              <w14:schemeClr w14:val="tx1"/>
            </w14:solidFill>
          </w14:textFill>
        </w:rPr>
        <w:t>收费机电备品备件</w:t>
      </w:r>
      <w:bookmarkEnd w:id="104"/>
    </w:p>
    <w:p w14:paraId="516056CF">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收费机电备品备件数量应符合表</w:t>
      </w: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的要求。</w:t>
      </w:r>
    </w:p>
    <w:p w14:paraId="5641C172">
      <w:pPr>
        <w:pStyle w:val="112"/>
        <w:numPr>
          <w:ilvl w:val="0"/>
          <w:numId w:val="0"/>
        </w:numPr>
        <w:spacing w:before="156" w:after="156"/>
        <w:ind w:leftChars="0"/>
        <w:jc w:val="center"/>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 xml:space="preserve">表2   </w:t>
      </w:r>
      <w:r>
        <w:rPr>
          <w:rFonts w:hint="eastAsia"/>
          <w:color w:val="000000" w:themeColor="text1"/>
          <w14:textFill>
            <w14:solidFill>
              <w14:schemeClr w14:val="tx1"/>
            </w14:solidFill>
          </w14:textFill>
        </w:rPr>
        <w:t>收费站备品备件需求表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83"/>
        <w:gridCol w:w="5239"/>
        <w:gridCol w:w="3112"/>
      </w:tblGrid>
      <w:tr w14:paraId="2198D8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83" w:type="dxa"/>
            <w:tcBorders>
              <w:top w:val="single" w:color="auto" w:sz="8" w:space="0"/>
              <w:bottom w:val="single" w:color="auto" w:sz="8" w:space="0"/>
            </w:tcBorders>
            <w:shd w:val="clear" w:color="auto" w:fill="auto"/>
            <w:vAlign w:val="center"/>
          </w:tcPr>
          <w:p w14:paraId="1872F172">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5239" w:type="dxa"/>
            <w:tcBorders>
              <w:top w:val="single" w:color="auto" w:sz="8" w:space="0"/>
              <w:bottom w:val="single" w:color="auto" w:sz="8" w:space="0"/>
            </w:tcBorders>
            <w:shd w:val="clear" w:color="auto" w:fill="auto"/>
            <w:vAlign w:val="center"/>
          </w:tcPr>
          <w:p w14:paraId="12B6BD9C">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备件名称</w:t>
            </w:r>
          </w:p>
        </w:tc>
        <w:tc>
          <w:tcPr>
            <w:tcW w:w="3112" w:type="dxa"/>
            <w:tcBorders>
              <w:top w:val="single" w:color="auto" w:sz="8" w:space="0"/>
              <w:bottom w:val="single" w:color="auto" w:sz="8" w:space="0"/>
            </w:tcBorders>
            <w:shd w:val="clear" w:color="auto" w:fill="auto"/>
            <w:vAlign w:val="center"/>
          </w:tcPr>
          <w:p w14:paraId="71686BA5">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数量</w:t>
            </w:r>
          </w:p>
        </w:tc>
      </w:tr>
      <w:tr w14:paraId="3FC7E8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tcBorders>
              <w:top w:val="single" w:color="auto" w:sz="8" w:space="0"/>
            </w:tcBorders>
            <w:shd w:val="clear" w:color="auto" w:fill="auto"/>
            <w:vAlign w:val="center"/>
          </w:tcPr>
          <w:p w14:paraId="61DF419F">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5239" w:type="dxa"/>
            <w:tcBorders>
              <w:top w:val="single" w:color="auto" w:sz="8" w:space="0"/>
            </w:tcBorders>
            <w:shd w:val="clear" w:color="auto" w:fill="auto"/>
            <w:vAlign w:val="center"/>
          </w:tcPr>
          <w:p w14:paraId="63E2FEEB">
            <w:pPr>
              <w:pStyle w:val="178"/>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CPC</w:t>
            </w:r>
            <w:r>
              <w:rPr>
                <w:rFonts w:hint="eastAsia"/>
                <w:color w:val="000000" w:themeColor="text1"/>
                <w14:textFill>
                  <w14:solidFill>
                    <w14:schemeClr w14:val="tx1"/>
                  </w14:solidFill>
                </w14:textFill>
              </w:rPr>
              <w:t>卡</w:t>
            </w:r>
          </w:p>
        </w:tc>
        <w:tc>
          <w:tcPr>
            <w:tcW w:w="3112" w:type="dxa"/>
            <w:tcBorders>
              <w:top w:val="single" w:color="auto" w:sz="8" w:space="0"/>
            </w:tcBorders>
            <w:shd w:val="clear" w:color="auto" w:fill="auto"/>
            <w:vAlign w:val="center"/>
          </w:tcPr>
          <w:p w14:paraId="33EBF1DA">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满足收费站3天的用量</w:t>
            </w:r>
          </w:p>
        </w:tc>
      </w:tr>
      <w:tr w14:paraId="4C07F8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shd w:val="clear" w:color="auto" w:fill="auto"/>
            <w:vAlign w:val="center"/>
          </w:tcPr>
          <w:p w14:paraId="2C572E5D">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5239" w:type="dxa"/>
            <w:shd w:val="clear" w:color="auto" w:fill="auto"/>
            <w:vAlign w:val="center"/>
          </w:tcPr>
          <w:p w14:paraId="72321892">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纸质通行券</w:t>
            </w:r>
          </w:p>
        </w:tc>
        <w:tc>
          <w:tcPr>
            <w:tcW w:w="3112" w:type="dxa"/>
            <w:shd w:val="clear" w:color="auto" w:fill="auto"/>
            <w:vAlign w:val="center"/>
          </w:tcPr>
          <w:p w14:paraId="1A26E44F">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满足收费站3天的用量</w:t>
            </w:r>
          </w:p>
        </w:tc>
      </w:tr>
      <w:tr w14:paraId="71A2F4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shd w:val="clear" w:color="auto" w:fill="auto"/>
            <w:vAlign w:val="center"/>
          </w:tcPr>
          <w:p w14:paraId="6B16F08C">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5239" w:type="dxa"/>
            <w:shd w:val="clear" w:color="auto" w:fill="auto"/>
            <w:vAlign w:val="center"/>
          </w:tcPr>
          <w:p w14:paraId="0CED4C01">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手持终端</w:t>
            </w:r>
          </w:p>
        </w:tc>
        <w:tc>
          <w:tcPr>
            <w:tcW w:w="3112" w:type="dxa"/>
            <w:shd w:val="clear" w:color="auto" w:fill="auto"/>
            <w:vAlign w:val="center"/>
          </w:tcPr>
          <w:p w14:paraId="46E48CBF">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不少于2台</w:t>
            </w:r>
          </w:p>
        </w:tc>
      </w:tr>
      <w:tr w14:paraId="402CF3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shd w:val="clear" w:color="auto" w:fill="auto"/>
            <w:vAlign w:val="center"/>
          </w:tcPr>
          <w:p w14:paraId="480F5DD1">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5239" w:type="dxa"/>
            <w:shd w:val="clear" w:color="auto" w:fill="auto"/>
            <w:vAlign w:val="center"/>
          </w:tcPr>
          <w:p w14:paraId="5B438508">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移动收费设备</w:t>
            </w:r>
          </w:p>
        </w:tc>
        <w:tc>
          <w:tcPr>
            <w:tcW w:w="3112" w:type="dxa"/>
            <w:shd w:val="clear" w:color="auto" w:fill="auto"/>
            <w:vAlign w:val="center"/>
          </w:tcPr>
          <w:p w14:paraId="042BC71E">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不少于2台</w:t>
            </w:r>
          </w:p>
        </w:tc>
      </w:tr>
      <w:tr w14:paraId="6DAA28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shd w:val="clear" w:color="auto" w:fill="auto"/>
            <w:vAlign w:val="center"/>
          </w:tcPr>
          <w:p w14:paraId="15B3D68A">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5239" w:type="dxa"/>
            <w:shd w:val="clear" w:color="auto" w:fill="auto"/>
            <w:vAlign w:val="center"/>
          </w:tcPr>
          <w:p w14:paraId="6B31FDAA">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网络交换机</w:t>
            </w:r>
          </w:p>
        </w:tc>
        <w:tc>
          <w:tcPr>
            <w:tcW w:w="3112" w:type="dxa"/>
            <w:shd w:val="clear" w:color="auto" w:fill="auto"/>
            <w:vAlign w:val="center"/>
          </w:tcPr>
          <w:p w14:paraId="535591D6">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至少1台</w:t>
            </w:r>
          </w:p>
        </w:tc>
      </w:tr>
      <w:tr w14:paraId="7C59B1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shd w:val="clear" w:color="auto" w:fill="auto"/>
            <w:vAlign w:val="center"/>
          </w:tcPr>
          <w:p w14:paraId="5E1CAD50">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6</w:t>
            </w:r>
          </w:p>
        </w:tc>
        <w:tc>
          <w:tcPr>
            <w:tcW w:w="5239" w:type="dxa"/>
            <w:shd w:val="clear" w:color="auto" w:fill="auto"/>
            <w:vAlign w:val="center"/>
          </w:tcPr>
          <w:p w14:paraId="27A0BE94">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路由器</w:t>
            </w:r>
          </w:p>
        </w:tc>
        <w:tc>
          <w:tcPr>
            <w:tcW w:w="3112" w:type="dxa"/>
            <w:shd w:val="clear" w:color="auto" w:fill="auto"/>
          </w:tcPr>
          <w:p w14:paraId="139F0D6A">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至少1台</w:t>
            </w:r>
          </w:p>
        </w:tc>
      </w:tr>
      <w:tr w14:paraId="2D3AE1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shd w:val="clear" w:color="auto" w:fill="auto"/>
            <w:vAlign w:val="center"/>
          </w:tcPr>
          <w:p w14:paraId="4AE2B4E9">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7</w:t>
            </w:r>
          </w:p>
        </w:tc>
        <w:tc>
          <w:tcPr>
            <w:tcW w:w="5239" w:type="dxa"/>
            <w:shd w:val="clear" w:color="auto" w:fill="auto"/>
            <w:vAlign w:val="center"/>
          </w:tcPr>
          <w:p w14:paraId="49520ED2">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工控机</w:t>
            </w:r>
          </w:p>
        </w:tc>
        <w:tc>
          <w:tcPr>
            <w:tcW w:w="3112" w:type="dxa"/>
            <w:shd w:val="clear" w:color="auto" w:fill="auto"/>
          </w:tcPr>
          <w:p w14:paraId="7C92221E">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至少1台</w:t>
            </w:r>
          </w:p>
        </w:tc>
      </w:tr>
      <w:tr w14:paraId="1100D7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shd w:val="clear" w:color="auto" w:fill="auto"/>
            <w:vAlign w:val="center"/>
          </w:tcPr>
          <w:p w14:paraId="3C8F14AF">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8</w:t>
            </w:r>
          </w:p>
        </w:tc>
        <w:tc>
          <w:tcPr>
            <w:tcW w:w="5239" w:type="dxa"/>
            <w:shd w:val="clear" w:color="auto" w:fill="auto"/>
            <w:vAlign w:val="center"/>
          </w:tcPr>
          <w:p w14:paraId="54726798">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收费操作专用键盘</w:t>
            </w:r>
          </w:p>
        </w:tc>
        <w:tc>
          <w:tcPr>
            <w:tcW w:w="3112" w:type="dxa"/>
            <w:shd w:val="clear" w:color="auto" w:fill="auto"/>
            <w:vAlign w:val="center"/>
          </w:tcPr>
          <w:p w14:paraId="741F41AA">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至少1套</w:t>
            </w:r>
          </w:p>
        </w:tc>
      </w:tr>
      <w:tr w14:paraId="71FC3F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shd w:val="clear" w:color="auto" w:fill="auto"/>
            <w:vAlign w:val="center"/>
          </w:tcPr>
          <w:p w14:paraId="2AC8E4C3">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9</w:t>
            </w:r>
          </w:p>
        </w:tc>
        <w:tc>
          <w:tcPr>
            <w:tcW w:w="5239" w:type="dxa"/>
            <w:shd w:val="clear" w:color="auto" w:fill="auto"/>
            <w:vAlign w:val="center"/>
          </w:tcPr>
          <w:p w14:paraId="05F6BF63">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车道摄像机</w:t>
            </w:r>
          </w:p>
        </w:tc>
        <w:tc>
          <w:tcPr>
            <w:tcW w:w="3112" w:type="dxa"/>
            <w:shd w:val="clear" w:color="auto" w:fill="auto"/>
          </w:tcPr>
          <w:p w14:paraId="349C694A">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至少1套</w:t>
            </w:r>
          </w:p>
        </w:tc>
      </w:tr>
      <w:tr w14:paraId="6FAB89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shd w:val="clear" w:color="auto" w:fill="auto"/>
            <w:vAlign w:val="center"/>
          </w:tcPr>
          <w:p w14:paraId="79836793">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5239" w:type="dxa"/>
            <w:shd w:val="clear" w:color="auto" w:fill="auto"/>
            <w:vAlign w:val="center"/>
          </w:tcPr>
          <w:p w14:paraId="5065FCAD">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车型与车牌抓拍设备</w:t>
            </w:r>
          </w:p>
        </w:tc>
        <w:tc>
          <w:tcPr>
            <w:tcW w:w="3112" w:type="dxa"/>
            <w:shd w:val="clear" w:color="auto" w:fill="auto"/>
          </w:tcPr>
          <w:p w14:paraId="0D783D43">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至少1套</w:t>
            </w:r>
          </w:p>
        </w:tc>
      </w:tr>
      <w:tr w14:paraId="6CA992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shd w:val="clear" w:color="auto" w:fill="auto"/>
            <w:vAlign w:val="center"/>
          </w:tcPr>
          <w:p w14:paraId="14DC1697">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11</w:t>
            </w:r>
          </w:p>
        </w:tc>
        <w:tc>
          <w:tcPr>
            <w:tcW w:w="5239" w:type="dxa"/>
            <w:shd w:val="clear" w:color="auto" w:fill="auto"/>
            <w:vAlign w:val="center"/>
          </w:tcPr>
          <w:p w14:paraId="5EAD224D">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车检器</w:t>
            </w:r>
          </w:p>
        </w:tc>
        <w:tc>
          <w:tcPr>
            <w:tcW w:w="3112" w:type="dxa"/>
            <w:shd w:val="clear" w:color="auto" w:fill="auto"/>
          </w:tcPr>
          <w:p w14:paraId="4C703CAE">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至少1套</w:t>
            </w:r>
          </w:p>
        </w:tc>
      </w:tr>
      <w:tr w14:paraId="34354C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shd w:val="clear" w:color="auto" w:fill="auto"/>
            <w:vAlign w:val="center"/>
          </w:tcPr>
          <w:p w14:paraId="5638B624">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12</w:t>
            </w:r>
          </w:p>
        </w:tc>
        <w:tc>
          <w:tcPr>
            <w:tcW w:w="5239" w:type="dxa"/>
            <w:shd w:val="clear" w:color="auto" w:fill="auto"/>
            <w:vAlign w:val="center"/>
          </w:tcPr>
          <w:p w14:paraId="398220A2">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车道栏杆</w:t>
            </w:r>
          </w:p>
        </w:tc>
        <w:tc>
          <w:tcPr>
            <w:tcW w:w="3112" w:type="dxa"/>
            <w:shd w:val="clear" w:color="auto" w:fill="auto"/>
          </w:tcPr>
          <w:p w14:paraId="7A4349D1">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至少1套</w:t>
            </w:r>
          </w:p>
        </w:tc>
      </w:tr>
      <w:tr w14:paraId="066DFE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shd w:val="clear" w:color="auto" w:fill="auto"/>
            <w:vAlign w:val="center"/>
          </w:tcPr>
          <w:p w14:paraId="0CD32D3B">
            <w:pPr>
              <w:pStyle w:val="178"/>
              <w:rPr>
                <w:rFonts w:hint="default" w:eastAsia="宋体"/>
                <w:color w:val="000000" w:themeColor="text1"/>
                <w:lang w:val="en-US" w:eastAsia="zh-CN"/>
                <w14:textFill>
                  <w14:solidFill>
                    <w14:schemeClr w14:val="tx1"/>
                  </w14:solidFill>
                </w14:textFill>
              </w:rPr>
            </w:pPr>
            <w:bookmarkStart w:id="105" w:name="_Toc176447274"/>
            <w:bookmarkStart w:id="106" w:name="_Toc176447283"/>
            <w:r>
              <w:rPr>
                <w:rFonts w:hint="eastAsia"/>
                <w:color w:val="000000" w:themeColor="text1"/>
                <w:lang w:val="en-US" w:eastAsia="zh-CN"/>
                <w14:textFill>
                  <w14:solidFill>
                    <w14:schemeClr w14:val="tx1"/>
                  </w14:solidFill>
                </w14:textFill>
              </w:rPr>
              <w:t>13</w:t>
            </w:r>
          </w:p>
        </w:tc>
        <w:tc>
          <w:tcPr>
            <w:tcW w:w="5239" w:type="dxa"/>
            <w:shd w:val="clear" w:color="auto" w:fill="auto"/>
            <w:vAlign w:val="center"/>
          </w:tcPr>
          <w:p w14:paraId="554C350C">
            <w:pPr>
              <w:pStyle w:val="178"/>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RSU天线设备</w:t>
            </w:r>
          </w:p>
        </w:tc>
        <w:tc>
          <w:tcPr>
            <w:tcW w:w="3112" w:type="dxa"/>
            <w:shd w:val="clear" w:color="auto" w:fill="auto"/>
          </w:tcPr>
          <w:p w14:paraId="1ED9CA9E">
            <w:pPr>
              <w:pStyle w:val="17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至少1套</w:t>
            </w:r>
          </w:p>
        </w:tc>
      </w:tr>
    </w:tbl>
    <w:p w14:paraId="1ACCC2B8">
      <w:pPr>
        <w:pStyle w:val="104"/>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评价与改进</w:t>
      </w:r>
      <w:bookmarkEnd w:id="105"/>
      <w:bookmarkEnd w:id="106"/>
    </w:p>
    <w:p w14:paraId="519ED5E2">
      <w:pPr>
        <w:pStyle w:val="162"/>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智慧收费站每年组织一次自我评价和用户满意度评价。</w:t>
      </w:r>
    </w:p>
    <w:p w14:paraId="5358BF8F">
      <w:pPr>
        <w:pStyle w:val="162"/>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智慧收费站总结评价结果、收集公众意见，不断完善和改进智慧收费站的服务功能和服务水平。</w:t>
      </w:r>
    </w:p>
    <w:bookmarkEnd w:id="32"/>
    <w:p w14:paraId="38C2E4F7">
      <w:pPr>
        <w:pStyle w:val="56"/>
        <w:ind w:firstLine="0" w:firstLineChars="0"/>
        <w:jc w:val="center"/>
        <w:rPr>
          <w:rFonts w:hint="eastAsia"/>
          <w:color w:val="000000" w:themeColor="text1"/>
          <w14:textFill>
            <w14:solidFill>
              <w14:schemeClr w14:val="tx1"/>
            </w14:solidFill>
          </w14:textFill>
        </w:rPr>
      </w:pPr>
      <w:bookmarkStart w:id="107" w:name="BookMark8"/>
      <w:r>
        <w:rPr>
          <w:rFonts w:hint="eastAsia"/>
          <w:color w:val="000000" w:themeColor="text1"/>
          <w14:textFill>
            <w14:solidFill>
              <w14:schemeClr w14:val="tx1"/>
            </w14:solidFill>
          </w14:textFill>
        </w:rPr>
        <w:drawing>
          <wp:inline distT="0" distB="0" distL="0" distR="0">
            <wp:extent cx="1485900" cy="317500"/>
            <wp:effectExtent l="0" t="0" r="0" b="6350"/>
            <wp:docPr id="543193737" name="图片 1"/>
            <wp:cNvGraphicFramePr/>
            <a:graphic xmlns:a="http://schemas.openxmlformats.org/drawingml/2006/main">
              <a:graphicData uri="http://schemas.openxmlformats.org/drawingml/2006/picture">
                <pic:pic xmlns:pic="http://schemas.openxmlformats.org/drawingml/2006/picture">
                  <pic:nvPicPr>
                    <pic:cNvPr id="543193737"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7"/>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B3A98">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D4904">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63CDA">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2B124">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0DA03">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B9103">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C6B45">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E6228">
    <w:pPr>
      <w:pStyle w:val="61"/>
      <w:rPr>
        <w:rFonts w:hint="eastAsia"/>
      </w:rPr>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40E5A">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bCs/>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dit="forms" w:enforcement="1" w:cryptProviderType="rsaAES" w:cryptAlgorithmClass="hash" w:cryptAlgorithmType="typeAny" w:cryptAlgorithmSid="14" w:cryptSpinCount="100000" w:hash="UP6+nP+DqGder7y3nud6WJQeACkmsHRTKTv7k8EGRPi1zQrt5isQZbvXDOmSFFQWkaH/hcQ/Kl5T4B5RCAPaiw==" w:salt="M5s2Y1bFK729oxDU6a9fa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k1MWQxNzE2MmM2ZDNhNzkxNWY0NDlkZDc5OWRmMDYifQ=="/>
    <w:docVar w:name="KSO_WPS_MARK_KEY" w:val="9401df93-b305-496e-8255-e47b1c408194"/>
  </w:docVars>
  <w:rsids>
    <w:rsidRoot w:val="00D25C6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30F"/>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1BBD"/>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6588"/>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2CA5"/>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9CA"/>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7A6"/>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051F"/>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C6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8F8"/>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414999"/>
    <w:rsid w:val="03962F9D"/>
    <w:rsid w:val="0702642F"/>
    <w:rsid w:val="08656E39"/>
    <w:rsid w:val="0C782637"/>
    <w:rsid w:val="0EFA734D"/>
    <w:rsid w:val="0F1626B2"/>
    <w:rsid w:val="188D1034"/>
    <w:rsid w:val="20E97AEE"/>
    <w:rsid w:val="2FEE274C"/>
    <w:rsid w:val="36BF7967"/>
    <w:rsid w:val="373D289B"/>
    <w:rsid w:val="3A35209F"/>
    <w:rsid w:val="3D6E1622"/>
    <w:rsid w:val="40FC6603"/>
    <w:rsid w:val="49B93DDE"/>
    <w:rsid w:val="4A446BED"/>
    <w:rsid w:val="553521C5"/>
    <w:rsid w:val="5DCC50AB"/>
    <w:rsid w:val="643E4626"/>
    <w:rsid w:val="6CB30C28"/>
    <w:rsid w:val="72D103B5"/>
    <w:rsid w:val="765C7932"/>
    <w:rsid w:val="7A9D456E"/>
    <w:rsid w:val="7CCF7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610200BCD9A489198BABC7E3E528C5B"/>
        <w:style w:val=""/>
        <w:category>
          <w:name w:val="常规"/>
          <w:gallery w:val="placeholder"/>
        </w:category>
        <w:types>
          <w:type w:val="bbPlcHdr"/>
        </w:types>
        <w:behaviors>
          <w:behavior w:val="content"/>
        </w:behaviors>
        <w:description w:val=""/>
        <w:guid w:val="{1BDC85F2-B6F4-44AA-BE69-071DEE216856}"/>
      </w:docPartPr>
      <w:docPartBody>
        <w:p w14:paraId="082FE977">
          <w:pPr>
            <w:pStyle w:val="5"/>
          </w:pPr>
          <w:r>
            <w:rPr>
              <w:rStyle w:val="4"/>
              <w:rFonts w:hint="eastAsia"/>
            </w:rPr>
            <w:t>单击或点击此处输入文字。</w:t>
          </w:r>
        </w:p>
      </w:docPartBody>
    </w:docPart>
    <w:docPart>
      <w:docPartPr>
        <w:name w:val="5CB5D0BA62ED4444BB665D71D9DA6E91"/>
        <w:style w:val=""/>
        <w:category>
          <w:name w:val="常规"/>
          <w:gallery w:val="placeholder"/>
        </w:category>
        <w:types>
          <w:type w:val="bbPlcHdr"/>
        </w:types>
        <w:behaviors>
          <w:behavior w:val="content"/>
        </w:behaviors>
        <w:description w:val=""/>
        <w:guid w:val="{0CDFAF2B-0DAF-4B5D-89A7-FFEA4A263429}"/>
      </w:docPartPr>
      <w:docPartBody>
        <w:p w14:paraId="2F8B8EC2">
          <w:pPr>
            <w:pStyle w:val="6"/>
          </w:pPr>
          <w:r>
            <w:rPr>
              <w:rStyle w:val="4"/>
              <w:rFonts w:hint="eastAsia"/>
            </w:rPr>
            <w:t>选择一项。</w:t>
          </w:r>
        </w:p>
      </w:docPartBody>
    </w:docPart>
    <w:docPart>
      <w:docPartPr>
        <w:name w:val="B00A88F2938B44E380AB7E479FA6C245"/>
        <w:style w:val=""/>
        <w:category>
          <w:name w:val="常规"/>
          <w:gallery w:val="placeholder"/>
        </w:category>
        <w:types>
          <w:type w:val="bbPlcHdr"/>
        </w:types>
        <w:behaviors>
          <w:behavior w:val="content"/>
        </w:behaviors>
        <w:description w:val=""/>
        <w:guid w:val="{598840E3-1189-46B5-8D95-FE1EE008743D}"/>
      </w:docPartPr>
      <w:docPartBody>
        <w:p w14:paraId="46C673E6">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B0A"/>
    <w:rsid w:val="00183BC5"/>
    <w:rsid w:val="00752B0A"/>
    <w:rsid w:val="00A32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610200BCD9A489198BABC7E3E528C5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5CB5D0BA62ED4444BB665D71D9DA6E9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B00A88F2938B44E380AB7E479FA6C24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18</Pages>
  <Words>8072</Words>
  <Characters>8707</Characters>
  <Lines>918</Lines>
  <Paragraphs>826</Paragraphs>
  <TotalTime>1</TotalTime>
  <ScaleCrop>false</ScaleCrop>
  <LinksUpToDate>false</LinksUpToDate>
  <CharactersWithSpaces>8828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2024-09-05T07:20:00Z</dcterms:created>
  <dc:creator>尹夏明</dc:creator>
  <dc:description>&lt;config cover="true" show_menu="true" version="1.0.0" doctype="SDKXY"&gt;_x000d_
&lt;/config&gt;</dc:description>
  <cp:lastModifiedBy>陈星曈</cp:lastModifiedBy>
  <cp:lastPrinted>2020-08-30T10:00:00Z</cp:lastPrinted>
  <dcterms:modified xsi:type="dcterms:W3CDTF">2025-10-22T02:57:45Z</dcterms:modified>
  <dc:title>地方标准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2052-12.1.0.23125</vt:lpwstr>
  </property>
  <property fmtid="{D5CDD505-2E9C-101B-9397-08002B2CF9AE}" pid="15" name="ICV">
    <vt:lpwstr>5137965A9FEE41088DA9263F9FCBCC70_12</vt:lpwstr>
  </property>
  <property fmtid="{D5CDD505-2E9C-101B-9397-08002B2CF9AE}" pid="16" name="KSOTemplateDocerSaveRecord">
    <vt:lpwstr>eyJoZGlkIjoiNzhiMjFhNjIyYzE0ZWNjMWI5NjJlODEyYTM4NmRiY2EiLCJ1c2VySWQiOiIxMjEzNjU0MDg4In0=</vt:lpwstr>
  </property>
</Properties>
</file>